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7683CE67" w:rsidR="000E0141" w:rsidRDefault="00237B8C" w:rsidP="00722672">
      <w:pPr>
        <w:pStyle w:val="BodyText"/>
        <w:jc w:val="center"/>
      </w:pPr>
      <w:r w:rsidRPr="00237B8C">
        <w:rPr>
          <w:rFonts w:ascii="Calibri" w:hAnsi="Calibri"/>
          <w:spacing w:val="5"/>
          <w:kern w:val="28"/>
          <w:sz w:val="48"/>
          <w:szCs w:val="48"/>
        </w:rPr>
        <w:t>POSITION DESCRIPTION</w:t>
      </w:r>
    </w:p>
    <w:p w14:paraId="28CB6A60" w14:textId="5108BB17" w:rsidR="008C0BF9" w:rsidRDefault="008C0BF9" w:rsidP="0091642B">
      <w:pPr>
        <w:spacing w:before="240"/>
        <w:rPr>
          <w:i/>
          <w:color w:val="0070C0"/>
          <w:szCs w:val="24"/>
        </w:rPr>
      </w:pPr>
    </w:p>
    <w:p w14:paraId="5FCAEAB8" w14:textId="4E71A3A1"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134" w:left="1134" w:header="624" w:footer="340" w:gutter="0"/>
          <w:cols w:space="720"/>
          <w:docGrid w:linePitch="326"/>
        </w:sectPr>
      </w:pPr>
    </w:p>
    <w:p w14:paraId="552F564B" w14:textId="77777777" w:rsidR="00722672" w:rsidRPr="008C40B5" w:rsidRDefault="00722672" w:rsidP="00722672">
      <w:pPr>
        <w:tabs>
          <w:tab w:val="left" w:pos="3600"/>
        </w:tabs>
        <w:rPr>
          <w:szCs w:val="24"/>
        </w:rPr>
      </w:pPr>
      <w:r>
        <w:rPr>
          <w:b/>
          <w:szCs w:val="24"/>
        </w:rPr>
        <w:t>D</w:t>
      </w:r>
      <w:r w:rsidRPr="00D13EC3">
        <w:rPr>
          <w:b/>
          <w:szCs w:val="24"/>
        </w:rPr>
        <w:t xml:space="preserve">irectorate: </w:t>
      </w:r>
      <w:r w:rsidRPr="00722672">
        <w:rPr>
          <w:iCs/>
          <w:szCs w:val="24"/>
        </w:rPr>
        <w:t>City and Environment Directorate</w:t>
      </w:r>
    </w:p>
    <w:p w14:paraId="140E6CEA" w14:textId="168DB6EA" w:rsidR="00722672" w:rsidRDefault="00674160" w:rsidP="00722672">
      <w:pPr>
        <w:spacing w:before="240"/>
        <w:rPr>
          <w:szCs w:val="24"/>
        </w:rPr>
      </w:pPr>
      <w:r>
        <w:rPr>
          <w:b/>
          <w:szCs w:val="24"/>
        </w:rPr>
        <w:t>Business Area</w:t>
      </w:r>
      <w:r w:rsidR="00722672" w:rsidRPr="00D13EC3">
        <w:rPr>
          <w:b/>
          <w:szCs w:val="24"/>
        </w:rPr>
        <w:t>:</w:t>
      </w:r>
      <w:r w:rsidR="00722672">
        <w:rPr>
          <w:b/>
          <w:szCs w:val="24"/>
        </w:rPr>
        <w:t xml:space="preserve"> </w:t>
      </w:r>
      <w:r w:rsidR="00424FFE" w:rsidRPr="00424FFE">
        <w:rPr>
          <w:bCs/>
          <w:szCs w:val="24"/>
        </w:rPr>
        <w:t>Access Canberra</w:t>
      </w:r>
    </w:p>
    <w:p w14:paraId="0875158B" w14:textId="309533F3" w:rsidR="00722672" w:rsidRPr="00B74516" w:rsidRDefault="00722672" w:rsidP="00722672">
      <w:pPr>
        <w:spacing w:before="240"/>
        <w:rPr>
          <w:color w:val="365F91" w:themeColor="accent1" w:themeShade="BF"/>
          <w:szCs w:val="24"/>
        </w:rPr>
      </w:pPr>
      <w:r w:rsidRPr="00D13EC3">
        <w:rPr>
          <w:b/>
          <w:szCs w:val="24"/>
        </w:rPr>
        <w:t>Position Title:</w:t>
      </w:r>
      <w:r w:rsidRPr="00D13EC3">
        <w:rPr>
          <w:b/>
          <w:szCs w:val="24"/>
        </w:rPr>
        <w:tab/>
      </w:r>
      <w:r w:rsidRPr="00722672">
        <w:rPr>
          <w:iCs/>
          <w:szCs w:val="24"/>
        </w:rPr>
        <w:t>Executive Branch Manager</w:t>
      </w:r>
      <w:r w:rsidR="00424FFE">
        <w:rPr>
          <w:i/>
          <w:szCs w:val="24"/>
        </w:rPr>
        <w:t>,</w:t>
      </w:r>
      <w:r w:rsidR="00424FFE" w:rsidRPr="00424FFE">
        <w:rPr>
          <w:bCs/>
          <w:szCs w:val="24"/>
        </w:rPr>
        <w:t xml:space="preserve"> </w:t>
      </w:r>
      <w:r w:rsidR="00424FFE" w:rsidRPr="0091642B">
        <w:rPr>
          <w:bCs/>
          <w:szCs w:val="24"/>
        </w:rPr>
        <w:t>Approvals and Authorisations</w:t>
      </w:r>
    </w:p>
    <w:p w14:paraId="2EDBB583" w14:textId="7BD3B2CC" w:rsidR="00722672" w:rsidRPr="00B74516" w:rsidRDefault="00722672" w:rsidP="00722672">
      <w:pPr>
        <w:spacing w:before="240"/>
        <w:rPr>
          <w:b/>
          <w:i/>
          <w:szCs w:val="24"/>
        </w:rPr>
      </w:pPr>
      <w:r>
        <w:rPr>
          <w:szCs w:val="24"/>
        </w:rPr>
        <w:br w:type="column"/>
      </w:r>
      <w:r w:rsidRPr="00D13EC3">
        <w:rPr>
          <w:b/>
          <w:szCs w:val="24"/>
        </w:rPr>
        <w:t xml:space="preserve">Position Number: </w:t>
      </w:r>
      <w:r w:rsidR="0049289B">
        <w:rPr>
          <w:iCs/>
          <w:szCs w:val="24"/>
        </w:rPr>
        <w:t>E1</w:t>
      </w:r>
      <w:r w:rsidR="00477DFA">
        <w:rPr>
          <w:iCs/>
          <w:szCs w:val="24"/>
        </w:rPr>
        <w:t>077</w:t>
      </w:r>
    </w:p>
    <w:p w14:paraId="3DCF2700" w14:textId="23F75FEA" w:rsidR="00722672" w:rsidRPr="00B74516" w:rsidRDefault="00722672" w:rsidP="00722672">
      <w:pPr>
        <w:spacing w:before="240"/>
        <w:rPr>
          <w:b/>
          <w:i/>
          <w:szCs w:val="24"/>
        </w:rPr>
      </w:pPr>
      <w:r w:rsidRPr="00D13EC3">
        <w:rPr>
          <w:b/>
          <w:szCs w:val="24"/>
        </w:rPr>
        <w:t>Classification:</w:t>
      </w:r>
      <w:r>
        <w:rPr>
          <w:b/>
          <w:szCs w:val="24"/>
        </w:rPr>
        <w:t xml:space="preserve"> </w:t>
      </w:r>
      <w:r w:rsidR="00477DFA">
        <w:rPr>
          <w:rFonts w:asciiTheme="minorHAnsi" w:hAnsiTheme="minorHAnsi" w:cs="Tahoma"/>
          <w:bCs/>
        </w:rPr>
        <w:t>E1.4</w:t>
      </w:r>
    </w:p>
    <w:p w14:paraId="4F17FE9F" w14:textId="1E1C4E47" w:rsidR="00722672" w:rsidRPr="00AA6D51" w:rsidRDefault="00722672" w:rsidP="00AA6D51">
      <w:pPr>
        <w:rPr>
          <w:rFonts w:cs="Arial"/>
          <w:szCs w:val="24"/>
        </w:rPr>
      </w:pPr>
      <w:r w:rsidRPr="00D13EC3">
        <w:rPr>
          <w:b/>
          <w:szCs w:val="24"/>
        </w:rPr>
        <w:t xml:space="preserve">Location: </w:t>
      </w:r>
      <w:r w:rsidR="00AA6D51" w:rsidRPr="00722672">
        <w:rPr>
          <w:iCs/>
          <w:szCs w:val="24"/>
        </w:rPr>
        <w:t>Canberra, ACT</w:t>
      </w:r>
      <w:r w:rsidR="00AA6D51">
        <w:rPr>
          <w:iCs/>
          <w:szCs w:val="24"/>
        </w:rPr>
        <w:t>/Ngunnawal Country</w:t>
      </w:r>
    </w:p>
    <w:p w14:paraId="39D7BFC2" w14:textId="1C6445A0" w:rsidR="00722672" w:rsidRPr="002A041F" w:rsidRDefault="00722672" w:rsidP="002A041F">
      <w:pPr>
        <w:spacing w:before="240"/>
        <w:rPr>
          <w:b/>
          <w:iCs/>
          <w:szCs w:val="24"/>
        </w:rPr>
        <w:sectPr w:rsidR="00722672" w:rsidRPr="002A041F" w:rsidSect="00722672">
          <w:type w:val="continuous"/>
          <w:pgSz w:w="11906" w:h="16838" w:code="9"/>
          <w:pgMar w:top="851" w:right="1134" w:bottom="1134" w:left="1134" w:header="680" w:footer="680" w:gutter="0"/>
          <w:cols w:num="2" w:space="720"/>
          <w:docGrid w:linePitch="326"/>
        </w:sectPr>
      </w:pPr>
      <w:r w:rsidRPr="00D13EC3">
        <w:rPr>
          <w:b/>
          <w:szCs w:val="24"/>
        </w:rPr>
        <w:t>Last Reviewed:</w:t>
      </w:r>
      <w:r>
        <w:rPr>
          <w:b/>
          <w:szCs w:val="24"/>
        </w:rPr>
        <w:t xml:space="preserve"> </w:t>
      </w:r>
      <w:r w:rsidR="00424FFE">
        <w:rPr>
          <w:iCs/>
          <w:szCs w:val="24"/>
        </w:rPr>
        <w:t>February</w:t>
      </w:r>
      <w:r w:rsidRPr="00722672">
        <w:rPr>
          <w:iCs/>
          <w:szCs w:val="24"/>
        </w:rPr>
        <w:t xml:space="preserve"> 202</w:t>
      </w:r>
      <w:r w:rsidR="0091642B">
        <w:rPr>
          <w:iCs/>
          <w:szCs w:val="24"/>
        </w:rPr>
        <w:t>6</w:t>
      </w:r>
    </w:p>
    <w:p w14:paraId="4586F143" w14:textId="77777777" w:rsidR="00674160" w:rsidRPr="009A0130" w:rsidRDefault="00674160" w:rsidP="00674160">
      <w:pPr>
        <w:pStyle w:val="Heading1"/>
        <w:pBdr>
          <w:bottom w:val="single" w:sz="12" w:space="1" w:color="auto"/>
        </w:pBdr>
        <w:spacing w:before="360"/>
        <w:rPr>
          <w:sz w:val="28"/>
        </w:rPr>
      </w:pPr>
      <w:r>
        <w:rPr>
          <w:sz w:val="28"/>
        </w:rPr>
        <w:t>WHAT THE DIRECTORATE DOES</w:t>
      </w:r>
    </w:p>
    <w:p w14:paraId="032A27A4" w14:textId="77777777" w:rsidR="008C0BF9" w:rsidRDefault="008C0BF9" w:rsidP="008C0BF9">
      <w:pPr>
        <w:spacing w:after="0"/>
        <w:rPr>
          <w:rFonts w:asciiTheme="minorHAnsi" w:hAnsiTheme="minorHAnsi" w:cs="Tahoma"/>
          <w:bCs/>
        </w:rPr>
      </w:pPr>
      <w:hyperlink r:id="rId14" w:history="1">
        <w:r w:rsidRPr="00112402">
          <w:rPr>
            <w:rStyle w:val="Hyperlink"/>
            <w:rFonts w:cs="Calibri"/>
            <w:bCs/>
          </w:rPr>
          <w:t>The City and Environment Directorate</w:t>
        </w:r>
      </w:hyperlink>
      <w:r w:rsidRPr="00112402">
        <w:rPr>
          <w:rFonts w:asciiTheme="minorHAnsi" w:hAnsiTheme="minorHAnsi" w:cs="Tahoma"/>
          <w:bCs/>
        </w:rPr>
        <w:t xml:space="preserve"> (CED) brings together the people, services and systems that shape Canberra’s future. CED was established to align planning and transport, improve efficiency of development decisions, support environmental management, consolidate city services operations, and strengthen how government connects with the community. </w:t>
      </w:r>
    </w:p>
    <w:p w14:paraId="033F7D13" w14:textId="77777777" w:rsidR="008C0BF9" w:rsidRDefault="008C0BF9" w:rsidP="008C0BF9">
      <w:pPr>
        <w:spacing w:after="0"/>
        <w:rPr>
          <w:rFonts w:asciiTheme="minorHAnsi" w:hAnsiTheme="minorHAnsi" w:cs="Tahoma"/>
          <w:bCs/>
        </w:rPr>
      </w:pPr>
    </w:p>
    <w:p w14:paraId="35ADE1C0" w14:textId="77777777" w:rsidR="008C0BF9" w:rsidRPr="00112402" w:rsidRDefault="008C0BF9" w:rsidP="008C0BF9">
      <w:pPr>
        <w:spacing w:after="0"/>
        <w:rPr>
          <w:rFonts w:asciiTheme="minorHAnsi" w:hAnsiTheme="minorHAnsi" w:cs="Tahoma"/>
          <w:bCs/>
        </w:rPr>
      </w:pPr>
      <w:r w:rsidRPr="00112402">
        <w:rPr>
          <w:rFonts w:asciiTheme="minorHAnsi" w:hAnsiTheme="minorHAnsi" w:cs="Tahoma"/>
          <w:bCs/>
        </w:rPr>
        <w:t>Our work spans the natural and built environments, city and transport services, and regulatory and customer service functions.</w:t>
      </w:r>
      <w:r>
        <w:rPr>
          <w:rFonts w:asciiTheme="minorHAnsi" w:hAnsiTheme="minorHAnsi" w:cs="Tahoma"/>
          <w:bCs/>
        </w:rPr>
        <w:t xml:space="preserve"> </w:t>
      </w:r>
      <w:r w:rsidRPr="00112402">
        <w:rPr>
          <w:rFonts w:asciiTheme="minorHAnsi" w:hAnsiTheme="minorHAnsi" w:cs="Tahoma"/>
          <w:bCs/>
        </w:rPr>
        <w:t>We are here to:</w:t>
      </w:r>
    </w:p>
    <w:p w14:paraId="6ABA54CA" w14:textId="77777777" w:rsidR="008C0BF9" w:rsidRPr="00112402" w:rsidRDefault="008C0BF9" w:rsidP="008C0BF9">
      <w:pPr>
        <w:pStyle w:val="ListParagraph"/>
        <w:widowControl w:val="0"/>
        <w:numPr>
          <w:ilvl w:val="0"/>
          <w:numId w:val="7"/>
        </w:numPr>
        <w:suppressAutoHyphens w:val="0"/>
        <w:autoSpaceDE w:val="0"/>
        <w:autoSpaceDN w:val="0"/>
        <w:adjustRightInd w:val="0"/>
        <w:spacing w:after="0"/>
        <w:contextualSpacing w:val="0"/>
        <w:rPr>
          <w:rFonts w:asciiTheme="minorHAnsi" w:hAnsiTheme="minorHAnsi" w:cs="Tahoma"/>
          <w:bCs/>
        </w:rPr>
      </w:pPr>
      <w:r w:rsidRPr="00112402">
        <w:rPr>
          <w:rFonts w:asciiTheme="minorHAnsi" w:hAnsiTheme="minorHAnsi" w:cs="Tahoma"/>
          <w:bCs/>
        </w:rPr>
        <w:t>Deliver streamlined, customer-focused services.</w:t>
      </w:r>
    </w:p>
    <w:p w14:paraId="0953BDFA" w14:textId="77777777" w:rsidR="008C0BF9" w:rsidRPr="00112402" w:rsidRDefault="008C0BF9" w:rsidP="008C0BF9">
      <w:pPr>
        <w:pStyle w:val="ListParagraph"/>
        <w:widowControl w:val="0"/>
        <w:numPr>
          <w:ilvl w:val="0"/>
          <w:numId w:val="7"/>
        </w:numPr>
        <w:suppressAutoHyphens w:val="0"/>
        <w:autoSpaceDE w:val="0"/>
        <w:autoSpaceDN w:val="0"/>
        <w:adjustRightInd w:val="0"/>
        <w:spacing w:after="0"/>
        <w:contextualSpacing w:val="0"/>
        <w:rPr>
          <w:rFonts w:asciiTheme="minorHAnsi" w:hAnsiTheme="minorHAnsi" w:cs="Tahoma"/>
          <w:bCs/>
        </w:rPr>
      </w:pPr>
      <w:r w:rsidRPr="00112402">
        <w:rPr>
          <w:rFonts w:asciiTheme="minorHAnsi" w:hAnsiTheme="minorHAnsi" w:cs="Tahoma"/>
          <w:bCs/>
        </w:rPr>
        <w:t>Align planning, transport and environmental stewardship.</w:t>
      </w:r>
    </w:p>
    <w:p w14:paraId="6CABC535" w14:textId="77777777" w:rsidR="008C0BF9" w:rsidRPr="00112402" w:rsidRDefault="008C0BF9" w:rsidP="008C0BF9">
      <w:pPr>
        <w:pStyle w:val="ListParagraph"/>
        <w:widowControl w:val="0"/>
        <w:numPr>
          <w:ilvl w:val="0"/>
          <w:numId w:val="7"/>
        </w:numPr>
        <w:suppressAutoHyphens w:val="0"/>
        <w:autoSpaceDE w:val="0"/>
        <w:autoSpaceDN w:val="0"/>
        <w:adjustRightInd w:val="0"/>
        <w:spacing w:after="0"/>
        <w:contextualSpacing w:val="0"/>
        <w:rPr>
          <w:rFonts w:asciiTheme="minorHAnsi" w:hAnsiTheme="minorHAnsi" w:cs="Tahoma"/>
          <w:bCs/>
        </w:rPr>
      </w:pPr>
      <w:r w:rsidRPr="00112402">
        <w:rPr>
          <w:rFonts w:asciiTheme="minorHAnsi" w:hAnsiTheme="minorHAnsi" w:cs="Tahoma"/>
          <w:bCs/>
        </w:rPr>
        <w:t>Consolidate operations for greater efficiency and impact.</w:t>
      </w:r>
    </w:p>
    <w:p w14:paraId="14B97499" w14:textId="77777777" w:rsidR="008C0BF9" w:rsidRDefault="008C0BF9" w:rsidP="008C0BF9">
      <w:pPr>
        <w:pStyle w:val="ListParagraph"/>
        <w:widowControl w:val="0"/>
        <w:numPr>
          <w:ilvl w:val="0"/>
          <w:numId w:val="7"/>
        </w:numPr>
        <w:suppressAutoHyphens w:val="0"/>
        <w:autoSpaceDE w:val="0"/>
        <w:autoSpaceDN w:val="0"/>
        <w:adjustRightInd w:val="0"/>
        <w:spacing w:after="0"/>
        <w:contextualSpacing w:val="0"/>
        <w:rPr>
          <w:rFonts w:asciiTheme="minorHAnsi" w:hAnsiTheme="minorHAnsi" w:cs="Tahoma"/>
          <w:bCs/>
        </w:rPr>
      </w:pPr>
      <w:r w:rsidRPr="00112402">
        <w:rPr>
          <w:rFonts w:asciiTheme="minorHAnsi" w:hAnsiTheme="minorHAnsi" w:cs="Tahoma"/>
          <w:bCs/>
        </w:rPr>
        <w:t>Make government services more accessible, transparent and trusted.</w:t>
      </w:r>
    </w:p>
    <w:p w14:paraId="29BACC41" w14:textId="77777777" w:rsidR="008C0BF9" w:rsidRPr="00112402" w:rsidRDefault="008C0BF9" w:rsidP="008C0BF9">
      <w:pPr>
        <w:pStyle w:val="ListParagraph"/>
        <w:spacing w:after="0"/>
        <w:rPr>
          <w:rFonts w:asciiTheme="minorHAnsi" w:hAnsiTheme="minorHAnsi" w:cs="Tahoma"/>
          <w:bCs/>
        </w:rPr>
      </w:pPr>
    </w:p>
    <w:p w14:paraId="7E3A95B4" w14:textId="77777777" w:rsidR="008C0BF9" w:rsidRDefault="008C0BF9" w:rsidP="008C0BF9">
      <w:pPr>
        <w:spacing w:after="0"/>
        <w:rPr>
          <w:rFonts w:asciiTheme="minorHAnsi" w:hAnsiTheme="minorHAnsi" w:cs="Tahoma"/>
        </w:rPr>
      </w:pPr>
      <w:r w:rsidRPr="00112402">
        <w:rPr>
          <w:rFonts w:asciiTheme="minorHAnsi" w:hAnsiTheme="minorHAnsi" w:cs="Tahoma"/>
          <w:bCs/>
        </w:rPr>
        <w:t>At CED, we put people and place at the centre of everything we do. Whether shaping policy, maintaining public spaces, designing transport networks or supporting regulatory access, our people contribute to a connected, inclusive and resilient Canberra.</w:t>
      </w:r>
    </w:p>
    <w:p w14:paraId="72D78478" w14:textId="61BCEDF3" w:rsidR="00424FFE" w:rsidRPr="00424FFE" w:rsidRDefault="002A43D2" w:rsidP="00424FFE">
      <w:pPr>
        <w:pStyle w:val="Heading1"/>
        <w:pBdr>
          <w:bottom w:val="single" w:sz="12" w:space="1" w:color="auto"/>
        </w:pBdr>
        <w:spacing w:before="360"/>
        <w:rPr>
          <w:sz w:val="28"/>
        </w:rPr>
      </w:pPr>
      <w:r w:rsidRPr="002A43D2">
        <w:rPr>
          <w:sz w:val="28"/>
        </w:rPr>
        <w:t>DIVISION OVERVIEW</w:t>
      </w:r>
    </w:p>
    <w:p w14:paraId="0E925E0C" w14:textId="77777777" w:rsidR="00424FFE" w:rsidRPr="00426119" w:rsidRDefault="00424FFE" w:rsidP="00424FFE">
      <w:pPr>
        <w:spacing w:line="276" w:lineRule="auto"/>
        <w:rPr>
          <w:rFonts w:asciiTheme="minorHAnsi" w:hAnsiTheme="minorHAnsi" w:cs="Tahoma"/>
          <w:bCs/>
        </w:rPr>
      </w:pPr>
      <w:r w:rsidRPr="00426119">
        <w:rPr>
          <w:rFonts w:asciiTheme="minorHAnsi" w:hAnsiTheme="minorHAnsi" w:cs="Tahoma"/>
          <w:bCs/>
        </w:rPr>
        <w:t xml:space="preserve">At Access Canberra, we are all about giving people easy access to ACT Government regulatory services, payments and information while offering great customer experience when accessing our services. We help community organisations, business and individuals work with the ACT Government and constantly look for new ways to improve our services. </w:t>
      </w:r>
    </w:p>
    <w:p w14:paraId="202EA35D" w14:textId="77777777" w:rsidR="00424FFE" w:rsidRPr="00426119" w:rsidRDefault="00424FFE" w:rsidP="00424FFE">
      <w:pPr>
        <w:spacing w:line="276" w:lineRule="auto"/>
        <w:rPr>
          <w:rFonts w:asciiTheme="minorHAnsi" w:hAnsiTheme="minorHAnsi" w:cs="Tahoma"/>
          <w:bCs/>
        </w:rPr>
      </w:pPr>
      <w:r w:rsidRPr="00426119">
        <w:rPr>
          <w:rFonts w:asciiTheme="minorHAnsi" w:hAnsiTheme="minorHAnsi" w:cs="Tahoma"/>
          <w:bCs/>
        </w:rPr>
        <w:lastRenderedPageBreak/>
        <w:t xml:space="preserve">Access Canberra works across many different regulatory and customer service areas to support the delivery of regulatory reform and red tape reduction, drive government priorities and implement new initiatives. We adopt a risk and harm-based approach to achieve regulatory compliance through a broad range of enforcement tools aimed at those not doing the right thing and to protect our community. We aim to deliver exceptional customer services through our Service Centres and Contact </w:t>
      </w:r>
      <w:proofErr w:type="gramStart"/>
      <w:r w:rsidRPr="00426119">
        <w:rPr>
          <w:rFonts w:asciiTheme="minorHAnsi" w:hAnsiTheme="minorHAnsi" w:cs="Tahoma"/>
          <w:bCs/>
        </w:rPr>
        <w:t>Centres</w:t>
      </w:r>
      <w:proofErr w:type="gramEnd"/>
      <w:r w:rsidRPr="00426119">
        <w:rPr>
          <w:rFonts w:asciiTheme="minorHAnsi" w:hAnsiTheme="minorHAnsi" w:cs="Tahoma"/>
          <w:bCs/>
        </w:rPr>
        <w:t xml:space="preserve"> and we also deliver the regulatory of:</w:t>
      </w:r>
    </w:p>
    <w:p w14:paraId="383DF8AF"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Registrar-General</w:t>
      </w:r>
    </w:p>
    <w:p w14:paraId="3C7A1982"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Commissioner for Fair Trading</w:t>
      </w:r>
    </w:p>
    <w:p w14:paraId="33315217"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ACT Gambling and Racing Commission</w:t>
      </w:r>
    </w:p>
    <w:p w14:paraId="0627093C"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Road Transport Authority</w:t>
      </w:r>
    </w:p>
    <w:p w14:paraId="229A0436"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Registrar for Co-operatives</w:t>
      </w:r>
    </w:p>
    <w:p w14:paraId="09A0550D"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Controlled Sports Registrar</w:t>
      </w:r>
    </w:p>
    <w:p w14:paraId="66EB877F"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Constructions Occupations Registrar</w:t>
      </w:r>
    </w:p>
    <w:p w14:paraId="74BA00AE"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Architects Registrar</w:t>
      </w:r>
    </w:p>
    <w:p w14:paraId="1EB9027B"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Professional Engineer’s Registrar</w:t>
      </w:r>
    </w:p>
    <w:p w14:paraId="3AA0F87C"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Environment Protection Authority</w:t>
      </w:r>
    </w:p>
    <w:p w14:paraId="4C6971AE"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Utilities Technical Regulator</w:t>
      </w:r>
    </w:p>
    <w:p w14:paraId="043B08BD"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Delegate for Lakes</w:t>
      </w:r>
    </w:p>
    <w:p w14:paraId="67CAFD0B"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Clinical Waster Controller</w:t>
      </w:r>
    </w:p>
    <w:p w14:paraId="715A8CA6" w14:textId="77777777" w:rsidR="00424FFE" w:rsidRPr="00426119" w:rsidRDefault="00424FFE" w:rsidP="00424FFE">
      <w:pPr>
        <w:numPr>
          <w:ilvl w:val="0"/>
          <w:numId w:val="16"/>
        </w:numPr>
        <w:spacing w:line="276" w:lineRule="auto"/>
        <w:rPr>
          <w:rFonts w:asciiTheme="minorHAnsi" w:hAnsiTheme="minorHAnsi" w:cs="Tahoma"/>
          <w:bCs/>
        </w:rPr>
      </w:pPr>
      <w:r w:rsidRPr="00426119">
        <w:rPr>
          <w:rFonts w:asciiTheme="minorHAnsi" w:hAnsiTheme="minorHAnsi" w:cs="Tahoma"/>
          <w:bCs/>
        </w:rPr>
        <w:t xml:space="preserve">Racing Appeals Tribunal Registrar. </w:t>
      </w:r>
    </w:p>
    <w:p w14:paraId="39D2AD99" w14:textId="77777777" w:rsidR="00424FFE" w:rsidRPr="00426119" w:rsidRDefault="00424FFE" w:rsidP="00424FFE">
      <w:pPr>
        <w:spacing w:line="276" w:lineRule="auto"/>
        <w:rPr>
          <w:rFonts w:asciiTheme="minorHAnsi" w:hAnsiTheme="minorHAnsi" w:cs="Tahoma"/>
          <w:bCs/>
        </w:rPr>
      </w:pPr>
      <w:r w:rsidRPr="00426119">
        <w:rPr>
          <w:rFonts w:asciiTheme="minorHAnsi" w:hAnsiTheme="minorHAnsi" w:cs="Tahoma"/>
          <w:bCs/>
        </w:rPr>
        <w:t>In July 2025, Libraries ACT became part of Access Canberra. Our public library branches attract 1.9 million visitors per year who borrow approximately 3 million items.  The items include digital resources (which is increasing), as well as gaining access to our extensive collection through the Home Library Service. As of 1 February 2026, the Access Canberra structure integrated all regulatory functions across CED, bringing together authorisation, engagement, compliance, and enforcement activities. This structure supports a lifecycle</w:t>
      </w:r>
      <w:r w:rsidRPr="00426119">
        <w:rPr>
          <w:rFonts w:asciiTheme="minorHAnsi" w:hAnsiTheme="minorHAnsi" w:cs="Tahoma"/>
          <w:bCs/>
        </w:rPr>
        <w:noBreakHyphen/>
        <w:t>based regulatory model by co</w:t>
      </w:r>
      <w:r w:rsidRPr="00426119">
        <w:rPr>
          <w:rFonts w:asciiTheme="minorHAnsi" w:hAnsiTheme="minorHAnsi" w:cs="Tahoma"/>
          <w:bCs/>
        </w:rPr>
        <w:noBreakHyphen/>
        <w:t>locating regulatory functions, consolidating authorisation and engagement activities, and grouping compliance work by sector. It also further strengthens the integration of customer services,</w:t>
      </w:r>
      <w:r w:rsidRPr="00426119">
        <w:rPr>
          <w:rFonts w:asciiTheme="minorHAnsi" w:hAnsiTheme="minorHAnsi" w:cs="Arial"/>
          <w:i/>
          <w:color w:val="0070C0"/>
          <w:szCs w:val="24"/>
        </w:rPr>
        <w:t xml:space="preserve"> </w:t>
      </w:r>
      <w:r w:rsidRPr="00426119">
        <w:rPr>
          <w:rFonts w:asciiTheme="minorHAnsi" w:hAnsiTheme="minorHAnsi" w:cs="Tahoma"/>
          <w:bCs/>
        </w:rPr>
        <w:t xml:space="preserve">building on our established capability in delivering streamlined, effective, and efficient services. </w:t>
      </w:r>
      <w:r w:rsidRPr="00426119">
        <w:rPr>
          <w:rFonts w:asciiTheme="minorHAnsi" w:hAnsiTheme="minorHAnsi" w:cs="Tahoma"/>
          <w:bCs/>
        </w:rPr>
        <w:lastRenderedPageBreak/>
        <w:t xml:space="preserve">This </w:t>
      </w:r>
      <w:proofErr w:type="gramStart"/>
      <w:r w:rsidRPr="00426119">
        <w:rPr>
          <w:rFonts w:asciiTheme="minorHAnsi" w:hAnsiTheme="minorHAnsi" w:cs="Tahoma"/>
          <w:bCs/>
        </w:rPr>
        <w:t>includes:</w:t>
      </w:r>
      <w:proofErr w:type="gramEnd"/>
      <w:r w:rsidRPr="00426119">
        <w:rPr>
          <w:rFonts w:asciiTheme="minorHAnsi" w:hAnsiTheme="minorHAnsi" w:cs="Tahoma"/>
          <w:bCs/>
        </w:rPr>
        <w:t xml:space="preserve"> Libraries ACT, Domestic Animal Services, Unleased Land, </w:t>
      </w:r>
      <w:proofErr w:type="spellStart"/>
      <w:r w:rsidRPr="00426119">
        <w:rPr>
          <w:rFonts w:asciiTheme="minorHAnsi" w:hAnsiTheme="minorHAnsi" w:cs="Tahoma"/>
          <w:bCs/>
        </w:rPr>
        <w:t>Nowaste</w:t>
      </w:r>
      <w:proofErr w:type="spellEnd"/>
      <w:r w:rsidRPr="00426119">
        <w:rPr>
          <w:rFonts w:asciiTheme="minorHAnsi" w:hAnsiTheme="minorHAnsi" w:cs="Tahoma"/>
          <w:bCs/>
        </w:rPr>
        <w:t xml:space="preserve"> and Cemeteries functions.</w:t>
      </w:r>
    </w:p>
    <w:p w14:paraId="625A92A2" w14:textId="77777777" w:rsidR="00424FFE" w:rsidRPr="00426119" w:rsidRDefault="00424FFE" w:rsidP="00424FFE">
      <w:pPr>
        <w:spacing w:line="276" w:lineRule="auto"/>
        <w:rPr>
          <w:rFonts w:asciiTheme="minorHAnsi" w:hAnsiTheme="minorHAnsi" w:cs="Tahoma"/>
          <w:bCs/>
        </w:rPr>
      </w:pPr>
      <w:r w:rsidRPr="00426119">
        <w:rPr>
          <w:rFonts w:asciiTheme="minorHAnsi" w:hAnsiTheme="minorHAnsi" w:cs="Tahoma"/>
          <w:bCs/>
        </w:rPr>
        <w:t>We are a diverse, innovative and professional team of people who come from a wide variety of backgrounds. We welcome people with experience from the community, public and private sectors and believe the more diverse our knowledge base is, the better our results will be.</w:t>
      </w:r>
    </w:p>
    <w:p w14:paraId="47B838B4" w14:textId="77777777" w:rsidR="00424FFE" w:rsidRPr="00426119" w:rsidRDefault="00424FFE" w:rsidP="00424FFE">
      <w:pPr>
        <w:spacing w:line="276" w:lineRule="auto"/>
        <w:rPr>
          <w:rFonts w:asciiTheme="minorHAnsi" w:hAnsiTheme="minorHAnsi" w:cs="Tahoma"/>
          <w:bCs/>
        </w:rPr>
      </w:pPr>
      <w:r w:rsidRPr="00426119">
        <w:rPr>
          <w:rFonts w:asciiTheme="minorHAnsi" w:hAnsiTheme="minorHAnsi" w:cs="Tahoma"/>
          <w:bCs/>
        </w:rPr>
        <w:t>We value people with innovative and creative ideas, who communicate with candour and respect, and who have the motivation to drive projects from conception through to delivery. We are curious about each other’s work and always ask “who else needs to know?”</w:t>
      </w:r>
    </w:p>
    <w:p w14:paraId="016421CB" w14:textId="77777777" w:rsidR="00424FFE" w:rsidRPr="00426119" w:rsidRDefault="00424FFE" w:rsidP="00424FFE">
      <w:pPr>
        <w:spacing w:line="276" w:lineRule="auto"/>
        <w:rPr>
          <w:rFonts w:asciiTheme="minorHAnsi" w:hAnsiTheme="minorHAnsi" w:cs="Tahoma"/>
          <w:bCs/>
        </w:rPr>
      </w:pPr>
      <w:r w:rsidRPr="00426119">
        <w:rPr>
          <w:rFonts w:asciiTheme="minorHAnsi" w:hAnsiTheme="minorHAnsi" w:cs="Tahoma"/>
          <w:bCs/>
        </w:rPr>
        <w:t>We offer:</w:t>
      </w:r>
    </w:p>
    <w:p w14:paraId="79711866" w14:textId="77777777" w:rsidR="00424FFE" w:rsidRPr="00426119" w:rsidRDefault="00424FFE" w:rsidP="00424FFE">
      <w:pPr>
        <w:numPr>
          <w:ilvl w:val="0"/>
          <w:numId w:val="18"/>
        </w:numPr>
        <w:spacing w:line="276" w:lineRule="auto"/>
        <w:rPr>
          <w:rFonts w:asciiTheme="minorHAnsi" w:hAnsiTheme="minorHAnsi" w:cs="Tahoma"/>
          <w:bCs/>
        </w:rPr>
      </w:pPr>
      <w:r w:rsidRPr="00426119">
        <w:rPr>
          <w:rFonts w:asciiTheme="minorHAnsi" w:hAnsiTheme="minorHAnsi" w:cs="Tahoma"/>
          <w:bCs/>
        </w:rPr>
        <w:t>Interesting and fulfilling work in a unique government environment where you can see the impact you have on the Canberra community.</w:t>
      </w:r>
    </w:p>
    <w:p w14:paraId="08A94B5D" w14:textId="77777777" w:rsidR="00424FFE" w:rsidRDefault="00424FFE" w:rsidP="00424FFE">
      <w:pPr>
        <w:numPr>
          <w:ilvl w:val="0"/>
          <w:numId w:val="18"/>
        </w:numPr>
        <w:spacing w:line="276" w:lineRule="auto"/>
        <w:rPr>
          <w:rFonts w:asciiTheme="minorHAnsi" w:hAnsiTheme="minorHAnsi" w:cs="Tahoma"/>
          <w:bCs/>
        </w:rPr>
      </w:pPr>
      <w:r w:rsidRPr="00426119">
        <w:rPr>
          <w:rFonts w:asciiTheme="minorHAnsi" w:hAnsiTheme="minorHAnsi" w:cs="Tahoma"/>
          <w:bCs/>
        </w:rPr>
        <w:t>The opportunity to work with passionate, innovative and experienced leaders who encourage and support you to develop your interests and expertise.</w:t>
      </w:r>
    </w:p>
    <w:p w14:paraId="0B104BE7" w14:textId="79B3FACC" w:rsidR="001D3C0B" w:rsidRPr="00424FFE" w:rsidRDefault="00424FFE" w:rsidP="00424FFE">
      <w:pPr>
        <w:numPr>
          <w:ilvl w:val="0"/>
          <w:numId w:val="18"/>
        </w:numPr>
        <w:spacing w:line="276" w:lineRule="auto"/>
        <w:rPr>
          <w:rFonts w:asciiTheme="minorHAnsi" w:hAnsiTheme="minorHAnsi" w:cs="Tahoma"/>
          <w:bCs/>
        </w:rPr>
      </w:pPr>
      <w:r w:rsidRPr="00424FFE">
        <w:rPr>
          <w:rFonts w:asciiTheme="minorHAnsi" w:hAnsiTheme="minorHAnsi" w:cs="Tahoma"/>
          <w:bCs/>
        </w:rPr>
        <w:t>A flexible workplace with various accommodation settings enabling activity-based work in a fun and creative environment.</w:t>
      </w:r>
    </w:p>
    <w:p w14:paraId="387AA56B" w14:textId="77777777" w:rsidR="001D3C0B" w:rsidRPr="001D3C0B" w:rsidRDefault="001D3C0B" w:rsidP="001D3C0B">
      <w:pPr>
        <w:pStyle w:val="BodyText"/>
        <w:rPr>
          <w:lang w:eastAsia="ja-JP"/>
        </w:rPr>
      </w:pPr>
    </w:p>
    <w:p w14:paraId="56E8331B" w14:textId="7AFD4985" w:rsidR="00674160" w:rsidRPr="008E4326" w:rsidRDefault="00674160" w:rsidP="00674160">
      <w:pPr>
        <w:pStyle w:val="Heading1"/>
        <w:pBdr>
          <w:bottom w:val="single" w:sz="12" w:space="1" w:color="auto"/>
        </w:pBdr>
        <w:spacing w:before="360"/>
        <w:rPr>
          <w:sz w:val="28"/>
        </w:rPr>
      </w:pPr>
      <w:r>
        <w:rPr>
          <w:sz w:val="28"/>
        </w:rPr>
        <w:t xml:space="preserve">ROLE AND RESPONSIBILITIES </w:t>
      </w:r>
    </w:p>
    <w:p w14:paraId="1460741E" w14:textId="77777777" w:rsidR="00B16040" w:rsidRPr="004E03DA" w:rsidRDefault="00B16040" w:rsidP="00B16040">
      <w:pPr>
        <w:pStyle w:val="Heading1"/>
        <w:pBdr>
          <w:bottom w:val="none" w:sz="0" w:space="0" w:color="auto"/>
        </w:pBdr>
        <w:rPr>
          <w:rFonts w:asciiTheme="minorHAnsi" w:eastAsia="Calibri" w:hAnsiTheme="minorHAnsi"/>
          <w:b w:val="0"/>
          <w:spacing w:val="0"/>
          <w:sz w:val="24"/>
          <w:szCs w:val="20"/>
          <w:lang w:eastAsia="en-AU"/>
        </w:rPr>
      </w:pPr>
      <w:r w:rsidRPr="004E03DA">
        <w:rPr>
          <w:rFonts w:asciiTheme="minorHAnsi" w:eastAsia="Calibri" w:hAnsiTheme="minorHAnsi"/>
          <w:b w:val="0"/>
          <w:spacing w:val="0"/>
          <w:sz w:val="24"/>
          <w:szCs w:val="20"/>
          <w:lang w:eastAsia="en-AU"/>
        </w:rPr>
        <w:t xml:space="preserve">As an Executive Branch Manager, you work alongside the Head of Access Caberra and other Executive Branch Managers to ensure Access Canberra leads the way in being an accessible, agile and responsive public agency.  Access Canberra Executive Branch Managers are required to think outside the box to find solutions; must love a challenge; and be known among their peers as a helper and someone who delivers.  </w:t>
      </w:r>
    </w:p>
    <w:p w14:paraId="535358C5" w14:textId="77777777" w:rsidR="00B16040" w:rsidRPr="004E03DA" w:rsidRDefault="00B16040" w:rsidP="00B16040">
      <w:pPr>
        <w:pStyle w:val="Heading1"/>
        <w:pBdr>
          <w:bottom w:val="none" w:sz="0" w:space="0" w:color="auto"/>
        </w:pBdr>
        <w:rPr>
          <w:rFonts w:asciiTheme="minorHAnsi" w:eastAsia="Calibri" w:hAnsiTheme="minorHAnsi"/>
          <w:b w:val="0"/>
          <w:spacing w:val="0"/>
          <w:sz w:val="24"/>
          <w:szCs w:val="20"/>
          <w:lang w:eastAsia="en-AU"/>
        </w:rPr>
      </w:pPr>
      <w:r w:rsidRPr="004E03DA">
        <w:rPr>
          <w:rFonts w:asciiTheme="minorHAnsi" w:eastAsia="Calibri" w:hAnsiTheme="minorHAnsi"/>
          <w:b w:val="0"/>
          <w:spacing w:val="0"/>
          <w:sz w:val="24"/>
          <w:szCs w:val="20"/>
          <w:lang w:eastAsia="en-AU"/>
        </w:rPr>
        <w:t>As an executive leader in Access Canberra, you won’t just be someone who can manage change – you will be formulating and driving it.  Executive Branch Managers will be committed to ensuring Access Canberra delivers a joined up and seamless experience for our customers and the community.</w:t>
      </w:r>
    </w:p>
    <w:p w14:paraId="3F816E69" w14:textId="77777777" w:rsidR="00B16040" w:rsidRPr="004E03DA" w:rsidRDefault="00B16040" w:rsidP="00B16040">
      <w:pPr>
        <w:pStyle w:val="NormalWeb"/>
        <w:spacing w:before="0" w:beforeAutospacing="0" w:after="240" w:afterAutospacing="0"/>
        <w:rPr>
          <w:rFonts w:asciiTheme="minorHAnsi" w:eastAsia="Calibri" w:hAnsiTheme="minorHAnsi"/>
          <w:szCs w:val="20"/>
        </w:rPr>
      </w:pPr>
      <w:r w:rsidRPr="004E03DA">
        <w:rPr>
          <w:rFonts w:asciiTheme="minorHAnsi" w:eastAsia="Calibri" w:hAnsiTheme="minorHAnsi"/>
          <w:szCs w:val="20"/>
        </w:rPr>
        <w:t>As an Executive Branch Manager, you will provide timely advice and briefs to Ministers, Head of Access Canberra and Directors-General, lead organisational change, build collaborative partnerships across directorates and agencies, represents Access Canberra at key fora and meetings, oversight and lead regulatory compliance actions, support the development of policy and legislative reform, and promote timely communications and engagement activities with business, industry and the community to achieve regulatory outcomes.</w:t>
      </w:r>
    </w:p>
    <w:p w14:paraId="63757AC0" w14:textId="77777777" w:rsidR="00B16040" w:rsidRPr="004E03DA" w:rsidRDefault="00B16040" w:rsidP="00B16040">
      <w:pPr>
        <w:pStyle w:val="Heading1"/>
        <w:pBdr>
          <w:bottom w:val="none" w:sz="0" w:space="0" w:color="auto"/>
        </w:pBdr>
        <w:rPr>
          <w:rFonts w:asciiTheme="minorHAnsi" w:eastAsia="Calibri" w:hAnsiTheme="minorHAnsi"/>
          <w:b w:val="0"/>
          <w:spacing w:val="0"/>
          <w:sz w:val="24"/>
          <w:szCs w:val="20"/>
          <w:lang w:eastAsia="en-AU"/>
        </w:rPr>
      </w:pPr>
      <w:r w:rsidRPr="004E03DA">
        <w:rPr>
          <w:rFonts w:asciiTheme="minorHAnsi" w:eastAsia="Calibri" w:hAnsiTheme="minorHAnsi"/>
          <w:b w:val="0"/>
          <w:spacing w:val="0"/>
          <w:sz w:val="24"/>
          <w:szCs w:val="20"/>
          <w:lang w:eastAsia="en-AU"/>
        </w:rPr>
        <w:lastRenderedPageBreak/>
        <w:t>To support agency needs and promote career development, Executive Branch Manager roles within Access Canberra may from time-to-time be rotated across different branches leading any of the functional streams, which currently comprise of:</w:t>
      </w:r>
    </w:p>
    <w:p w14:paraId="2CF2F1F7" w14:textId="77777777" w:rsidR="00B16040" w:rsidRPr="004E03DA" w:rsidRDefault="00B16040" w:rsidP="00B16040">
      <w:pPr>
        <w:pStyle w:val="ListParagraph"/>
        <w:numPr>
          <w:ilvl w:val="0"/>
          <w:numId w:val="19"/>
        </w:numPr>
        <w:rPr>
          <w:rFonts w:eastAsia="Calibri"/>
        </w:rPr>
      </w:pPr>
      <w:r w:rsidRPr="004E03DA">
        <w:rPr>
          <w:rFonts w:eastAsia="Calibri"/>
        </w:rPr>
        <w:t xml:space="preserve">Service Delivery &amp; Engagement </w:t>
      </w:r>
    </w:p>
    <w:p w14:paraId="7F395EE1" w14:textId="77777777" w:rsidR="00B16040" w:rsidRPr="004E03DA" w:rsidRDefault="00B16040" w:rsidP="00B16040">
      <w:pPr>
        <w:pStyle w:val="ListParagraph"/>
        <w:numPr>
          <w:ilvl w:val="0"/>
          <w:numId w:val="19"/>
        </w:numPr>
        <w:rPr>
          <w:rFonts w:eastAsia="Calibri"/>
        </w:rPr>
      </w:pPr>
      <w:r w:rsidRPr="004E03DA">
        <w:rPr>
          <w:rFonts w:eastAsia="Calibri"/>
        </w:rPr>
        <w:t xml:space="preserve">Authorisations and Approvals </w:t>
      </w:r>
    </w:p>
    <w:p w14:paraId="56F9C8E2" w14:textId="77777777" w:rsidR="00B16040" w:rsidRPr="004E03DA" w:rsidRDefault="00B16040" w:rsidP="00B16040">
      <w:pPr>
        <w:pStyle w:val="ListParagraph"/>
        <w:numPr>
          <w:ilvl w:val="0"/>
          <w:numId w:val="19"/>
        </w:numPr>
        <w:rPr>
          <w:rFonts w:eastAsia="Calibri"/>
        </w:rPr>
      </w:pPr>
      <w:r w:rsidRPr="004E03DA">
        <w:rPr>
          <w:rFonts w:eastAsia="Calibri"/>
        </w:rPr>
        <w:t>Building, Planning &amp; Land Use Regulation</w:t>
      </w:r>
    </w:p>
    <w:p w14:paraId="479C7CB7" w14:textId="77777777" w:rsidR="00B16040" w:rsidRPr="004E03DA" w:rsidRDefault="00B16040" w:rsidP="00B16040">
      <w:pPr>
        <w:pStyle w:val="ListParagraph"/>
        <w:numPr>
          <w:ilvl w:val="0"/>
          <w:numId w:val="19"/>
        </w:numPr>
        <w:rPr>
          <w:rFonts w:eastAsia="Calibri"/>
        </w:rPr>
      </w:pPr>
      <w:r w:rsidRPr="004E03DA">
        <w:rPr>
          <w:rFonts w:eastAsia="Calibri"/>
        </w:rPr>
        <w:t xml:space="preserve">Environment and Specialised Regulation </w:t>
      </w:r>
    </w:p>
    <w:p w14:paraId="5969408F" w14:textId="77777777" w:rsidR="00B16040" w:rsidRPr="004E03DA" w:rsidRDefault="00B16040" w:rsidP="00B16040">
      <w:pPr>
        <w:pStyle w:val="ListParagraph"/>
        <w:numPr>
          <w:ilvl w:val="0"/>
          <w:numId w:val="19"/>
        </w:numPr>
        <w:rPr>
          <w:rFonts w:eastAsia="Calibri"/>
        </w:rPr>
      </w:pPr>
      <w:r w:rsidRPr="004E03DA">
        <w:rPr>
          <w:rFonts w:eastAsia="Calibri"/>
        </w:rPr>
        <w:t xml:space="preserve">Transport, Industry, Gaming Economic Regulation </w:t>
      </w:r>
    </w:p>
    <w:p w14:paraId="35DEA41D" w14:textId="77777777" w:rsidR="00B16040" w:rsidRPr="00CB579C" w:rsidRDefault="00B16040" w:rsidP="00B16040">
      <w:pPr>
        <w:spacing w:after="0"/>
        <w:rPr>
          <w:rFonts w:asciiTheme="minorHAnsi" w:eastAsia="Calibri" w:hAnsiTheme="minorHAnsi"/>
        </w:rPr>
      </w:pPr>
      <w:r w:rsidRPr="005B30D2">
        <w:rPr>
          <w:rFonts w:asciiTheme="minorHAnsi" w:eastAsia="Calibri" w:hAnsiTheme="minorHAnsi"/>
        </w:rPr>
        <w:t>The role requires high level of leadership and communication skills and a proven capacity work collaboratively, lead engagement activities and provide strong representation for the Division and Directorate by identifying and realising the changing needs of community and government. Your skills in people management and program delivery will be supported by a strong and collaborative senior management team which oversights the direction and delivery of government priorities.</w:t>
      </w:r>
    </w:p>
    <w:p w14:paraId="394AB12C" w14:textId="77777777" w:rsidR="00B16040" w:rsidRDefault="00B16040" w:rsidP="00B16040">
      <w:pPr>
        <w:spacing w:after="0"/>
        <w:rPr>
          <w:rFonts w:asciiTheme="minorHAnsi" w:hAnsiTheme="minorHAnsi"/>
        </w:rPr>
      </w:pPr>
    </w:p>
    <w:p w14:paraId="7FC81F30" w14:textId="6433E198" w:rsidR="00B16040" w:rsidRPr="00B020A3" w:rsidRDefault="00B16040" w:rsidP="00B16040">
      <w:pPr>
        <w:pStyle w:val="Asubparabullet"/>
        <w:numPr>
          <w:ilvl w:val="0"/>
          <w:numId w:val="0"/>
        </w:numPr>
        <w:rPr>
          <w:rFonts w:asciiTheme="minorHAnsi" w:hAnsiTheme="minorHAnsi"/>
          <w:sz w:val="24"/>
          <w:szCs w:val="24"/>
        </w:rPr>
      </w:pPr>
      <w:r w:rsidRPr="003C6E8D">
        <w:rPr>
          <w:rFonts w:asciiTheme="minorHAnsi" w:hAnsiTheme="minorHAnsi"/>
          <w:sz w:val="24"/>
          <w:szCs w:val="24"/>
        </w:rPr>
        <w:t>Our people are our greatest asset, and you would be charged to lead and drive change</w:t>
      </w:r>
      <w:r>
        <w:rPr>
          <w:rFonts w:asciiTheme="minorHAnsi" w:hAnsiTheme="minorHAnsi"/>
          <w:sz w:val="24"/>
          <w:szCs w:val="24"/>
        </w:rPr>
        <w:t xml:space="preserve"> </w:t>
      </w:r>
      <w:r w:rsidRPr="003C6E8D">
        <w:rPr>
          <w:rFonts w:asciiTheme="minorHAnsi" w:hAnsiTheme="minorHAnsi"/>
          <w:sz w:val="24"/>
          <w:szCs w:val="24"/>
        </w:rPr>
        <w:t>management strategies, skill and capacity building, embedding a</w:t>
      </w:r>
      <w:r>
        <w:rPr>
          <w:rFonts w:asciiTheme="minorHAnsi" w:hAnsiTheme="minorHAnsi"/>
          <w:sz w:val="24"/>
          <w:szCs w:val="24"/>
        </w:rPr>
        <w:t xml:space="preserve"> </w:t>
      </w:r>
      <w:r w:rsidRPr="003C6E8D">
        <w:rPr>
          <w:rFonts w:asciiTheme="minorHAnsi" w:hAnsiTheme="minorHAnsi"/>
          <w:sz w:val="24"/>
          <w:szCs w:val="24"/>
        </w:rPr>
        <w:t>performance culture based on collaboration and achieving results.</w:t>
      </w:r>
      <w:r w:rsidRPr="00C22AFD">
        <w:t xml:space="preserve"> </w:t>
      </w:r>
      <w:r w:rsidRPr="00C22AFD">
        <w:rPr>
          <w:rFonts w:asciiTheme="minorHAnsi" w:hAnsiTheme="minorHAnsi"/>
          <w:sz w:val="24"/>
          <w:szCs w:val="24"/>
        </w:rPr>
        <w:t>You will support the</w:t>
      </w:r>
      <w:r>
        <w:rPr>
          <w:rFonts w:asciiTheme="minorHAnsi" w:hAnsiTheme="minorHAnsi"/>
          <w:sz w:val="24"/>
          <w:szCs w:val="24"/>
        </w:rPr>
        <w:t xml:space="preserve"> </w:t>
      </w:r>
      <w:r w:rsidRPr="00C22AFD">
        <w:rPr>
          <w:rFonts w:asciiTheme="minorHAnsi" w:hAnsiTheme="minorHAnsi"/>
          <w:sz w:val="24"/>
          <w:szCs w:val="24"/>
        </w:rPr>
        <w:t>Executive Group Manager</w:t>
      </w:r>
      <w:r>
        <w:rPr>
          <w:rFonts w:asciiTheme="minorHAnsi" w:hAnsiTheme="minorHAnsi"/>
          <w:sz w:val="24"/>
          <w:szCs w:val="24"/>
        </w:rPr>
        <w:t>,</w:t>
      </w:r>
      <w:r w:rsidRPr="00C22AFD">
        <w:rPr>
          <w:rFonts w:asciiTheme="minorHAnsi" w:hAnsiTheme="minorHAnsi"/>
          <w:sz w:val="24"/>
          <w:szCs w:val="24"/>
        </w:rPr>
        <w:t xml:space="preserve"> </w:t>
      </w:r>
      <w:r w:rsidRPr="00923B1F">
        <w:rPr>
          <w:rFonts w:asciiTheme="minorHAnsi" w:hAnsiTheme="minorHAnsi"/>
          <w:sz w:val="24"/>
          <w:szCs w:val="24"/>
        </w:rPr>
        <w:t xml:space="preserve">Deputy Director General, Director-General and Ministers </w:t>
      </w:r>
      <w:r w:rsidRPr="00C22AFD">
        <w:rPr>
          <w:rFonts w:asciiTheme="minorHAnsi" w:hAnsiTheme="minorHAnsi"/>
          <w:sz w:val="24"/>
          <w:szCs w:val="24"/>
        </w:rPr>
        <w:t xml:space="preserve">to deliver </w:t>
      </w:r>
      <w:r w:rsidR="004E03DA" w:rsidRPr="004E03DA">
        <w:rPr>
          <w:rFonts w:asciiTheme="minorHAnsi" w:hAnsiTheme="minorHAnsi"/>
          <w:sz w:val="24"/>
          <w:szCs w:val="24"/>
        </w:rPr>
        <w:t>a cohesive and seamless experience for customers and the broader community</w:t>
      </w:r>
    </w:p>
    <w:p w14:paraId="3B617218" w14:textId="77777777" w:rsidR="00B16040" w:rsidRPr="00BA5188" w:rsidRDefault="00B16040" w:rsidP="00B16040">
      <w:pPr>
        <w:spacing w:line="276" w:lineRule="auto"/>
        <w:rPr>
          <w:rFonts w:asciiTheme="minorHAnsi" w:hAnsiTheme="minorHAnsi" w:cstheme="minorHAnsi"/>
          <w:i/>
          <w:color w:val="0070C0"/>
          <w:szCs w:val="24"/>
        </w:rPr>
      </w:pPr>
      <w:r w:rsidRPr="00BA5188">
        <w:rPr>
          <w:rFonts w:asciiTheme="minorHAnsi" w:eastAsia="Calibri" w:hAnsiTheme="minorHAnsi" w:cstheme="minorHAnsi"/>
        </w:rPr>
        <w:t>The primary responsibilities for this position include but are not limited to:</w:t>
      </w:r>
    </w:p>
    <w:p w14:paraId="2462D943" w14:textId="77777777" w:rsidR="00B16040" w:rsidRPr="00705F4F" w:rsidRDefault="00B16040" w:rsidP="00B16040">
      <w:pPr>
        <w:pStyle w:val="ListParagraph"/>
        <w:widowControl w:val="0"/>
        <w:numPr>
          <w:ilvl w:val="0"/>
          <w:numId w:val="7"/>
        </w:numPr>
        <w:suppressAutoHyphens w:val="0"/>
        <w:autoSpaceDE w:val="0"/>
        <w:autoSpaceDN w:val="0"/>
        <w:adjustRightInd w:val="0"/>
        <w:spacing w:after="0"/>
        <w:contextualSpacing w:val="0"/>
        <w:rPr>
          <w:rFonts w:asciiTheme="minorHAnsi" w:hAnsiTheme="minorHAnsi" w:cs="Tahoma"/>
          <w:bCs/>
        </w:rPr>
      </w:pPr>
      <w:r w:rsidRPr="00705F4F">
        <w:rPr>
          <w:rFonts w:asciiTheme="minorHAnsi" w:hAnsiTheme="minorHAnsi" w:cs="Tahoma"/>
          <w:bCs/>
        </w:rPr>
        <w:t>Provide strategic leadership, sound governance, and ethical decision-making to ensure the effective delivery of services that meet community needs.</w:t>
      </w:r>
    </w:p>
    <w:p w14:paraId="7F35B14F" w14:textId="77777777" w:rsidR="00B16040" w:rsidRPr="00705F4F" w:rsidRDefault="00B16040" w:rsidP="00B16040">
      <w:pPr>
        <w:pStyle w:val="ListParagraph"/>
        <w:widowControl w:val="0"/>
        <w:numPr>
          <w:ilvl w:val="0"/>
          <w:numId w:val="7"/>
        </w:numPr>
        <w:suppressAutoHyphens w:val="0"/>
        <w:autoSpaceDE w:val="0"/>
        <w:autoSpaceDN w:val="0"/>
        <w:adjustRightInd w:val="0"/>
        <w:spacing w:after="0"/>
        <w:contextualSpacing w:val="0"/>
        <w:rPr>
          <w:rFonts w:asciiTheme="minorHAnsi" w:hAnsiTheme="minorHAnsi" w:cs="Tahoma"/>
          <w:bCs/>
        </w:rPr>
      </w:pPr>
      <w:r w:rsidRPr="00705F4F">
        <w:rPr>
          <w:rFonts w:asciiTheme="minorHAnsi" w:hAnsiTheme="minorHAnsi" w:cs="Tahoma"/>
          <w:bCs/>
        </w:rPr>
        <w:t xml:space="preserve">Managing resources efficiently and effectively, aligned to the </w:t>
      </w:r>
      <w:proofErr w:type="spellStart"/>
      <w:r w:rsidRPr="00705F4F">
        <w:rPr>
          <w:rFonts w:asciiTheme="minorHAnsi" w:hAnsiTheme="minorHAnsi" w:cs="Tahoma"/>
          <w:bCs/>
        </w:rPr>
        <w:t>Terriory’s</w:t>
      </w:r>
      <w:proofErr w:type="spellEnd"/>
      <w:r w:rsidRPr="00705F4F">
        <w:rPr>
          <w:rFonts w:asciiTheme="minorHAnsi" w:hAnsiTheme="minorHAnsi" w:cs="Tahoma"/>
          <w:bCs/>
        </w:rPr>
        <w:t xml:space="preserve"> ‘one service’ agenda.</w:t>
      </w:r>
    </w:p>
    <w:p w14:paraId="49E018F6" w14:textId="77777777" w:rsidR="00B16040" w:rsidRPr="00705F4F" w:rsidRDefault="00B16040" w:rsidP="00B16040">
      <w:pPr>
        <w:pStyle w:val="ListParagraph"/>
        <w:widowControl w:val="0"/>
        <w:numPr>
          <w:ilvl w:val="0"/>
          <w:numId w:val="7"/>
        </w:numPr>
        <w:suppressAutoHyphens w:val="0"/>
        <w:autoSpaceDE w:val="0"/>
        <w:autoSpaceDN w:val="0"/>
        <w:adjustRightInd w:val="0"/>
        <w:spacing w:after="0"/>
        <w:contextualSpacing w:val="0"/>
        <w:rPr>
          <w:rFonts w:asciiTheme="minorHAnsi" w:hAnsiTheme="minorHAnsi" w:cs="Tahoma"/>
          <w:bCs/>
        </w:rPr>
      </w:pPr>
      <w:r w:rsidRPr="00705F4F">
        <w:rPr>
          <w:rFonts w:asciiTheme="minorHAnsi" w:hAnsiTheme="minorHAnsi" w:cs="Tahoma"/>
          <w:bCs/>
        </w:rPr>
        <w:t>Drive and champion the implementation of Government and Directorate priorities</w:t>
      </w:r>
      <w:r>
        <w:rPr>
          <w:rFonts w:asciiTheme="minorHAnsi" w:hAnsiTheme="minorHAnsi" w:cs="Tahoma"/>
          <w:bCs/>
        </w:rPr>
        <w:t>,</w:t>
      </w:r>
      <w:r w:rsidRPr="00705F4F">
        <w:rPr>
          <w:rFonts w:asciiTheme="minorHAnsi" w:hAnsiTheme="minorHAnsi" w:cs="Tahoma"/>
          <w:bCs/>
        </w:rPr>
        <w:t xml:space="preserve"> programs, and policy initiatives, ensuring alignment with strategic objectives.</w:t>
      </w:r>
    </w:p>
    <w:p w14:paraId="352A798C" w14:textId="77777777" w:rsidR="00B16040" w:rsidRDefault="00B16040" w:rsidP="00B16040">
      <w:pPr>
        <w:pStyle w:val="ListParagraph"/>
        <w:widowControl w:val="0"/>
        <w:numPr>
          <w:ilvl w:val="0"/>
          <w:numId w:val="7"/>
        </w:numPr>
        <w:suppressAutoHyphens w:val="0"/>
        <w:autoSpaceDE w:val="0"/>
        <w:autoSpaceDN w:val="0"/>
        <w:adjustRightInd w:val="0"/>
        <w:spacing w:after="0"/>
        <w:contextualSpacing w:val="0"/>
        <w:rPr>
          <w:rFonts w:asciiTheme="minorHAnsi" w:hAnsiTheme="minorHAnsi" w:cs="Tahoma"/>
          <w:bCs/>
        </w:rPr>
      </w:pPr>
      <w:r w:rsidRPr="00705F4F">
        <w:rPr>
          <w:rFonts w:asciiTheme="minorHAnsi" w:hAnsiTheme="minorHAnsi" w:cs="Tahoma"/>
          <w:bCs/>
        </w:rPr>
        <w:t xml:space="preserve">Represent the Directorate across diverse forums and stakeholder engagements, fostering strong relationships. </w:t>
      </w:r>
    </w:p>
    <w:p w14:paraId="3985C414" w14:textId="77777777" w:rsidR="00B16040" w:rsidRPr="00705F4F" w:rsidRDefault="00B16040" w:rsidP="00B16040">
      <w:pPr>
        <w:pStyle w:val="ListParagraph"/>
        <w:widowControl w:val="0"/>
        <w:numPr>
          <w:ilvl w:val="0"/>
          <w:numId w:val="7"/>
        </w:numPr>
        <w:suppressAutoHyphens w:val="0"/>
        <w:autoSpaceDE w:val="0"/>
        <w:autoSpaceDN w:val="0"/>
        <w:adjustRightInd w:val="0"/>
        <w:spacing w:after="0"/>
        <w:contextualSpacing w:val="0"/>
        <w:rPr>
          <w:rFonts w:asciiTheme="minorHAnsi" w:hAnsiTheme="minorHAnsi" w:cs="Tahoma"/>
          <w:bCs/>
        </w:rPr>
      </w:pPr>
      <w:r>
        <w:rPr>
          <w:rFonts w:asciiTheme="minorHAnsi" w:hAnsiTheme="minorHAnsi" w:cs="Tahoma"/>
          <w:bCs/>
        </w:rPr>
        <w:t>L</w:t>
      </w:r>
      <w:r w:rsidRPr="00705F4F">
        <w:rPr>
          <w:rFonts w:asciiTheme="minorHAnsi" w:hAnsiTheme="minorHAnsi" w:cs="Tahoma"/>
          <w:bCs/>
        </w:rPr>
        <w:t>ead and model collaborative client and community consultation</w:t>
      </w:r>
      <w:r>
        <w:rPr>
          <w:rFonts w:asciiTheme="minorHAnsi" w:hAnsiTheme="minorHAnsi" w:cs="Tahoma"/>
          <w:bCs/>
        </w:rPr>
        <w:t>.</w:t>
      </w:r>
      <w:r w:rsidRPr="00705F4F">
        <w:rPr>
          <w:rFonts w:asciiTheme="minorHAnsi" w:hAnsiTheme="minorHAnsi" w:cs="Tahoma"/>
          <w:bCs/>
        </w:rPr>
        <w:t xml:space="preserve"> </w:t>
      </w:r>
    </w:p>
    <w:p w14:paraId="5BC01366" w14:textId="77777777" w:rsidR="00B16040" w:rsidRPr="005B30D2" w:rsidRDefault="00B16040" w:rsidP="00B16040">
      <w:pPr>
        <w:pStyle w:val="ListParagraph"/>
        <w:widowControl w:val="0"/>
        <w:numPr>
          <w:ilvl w:val="0"/>
          <w:numId w:val="7"/>
        </w:numPr>
        <w:suppressAutoHyphens w:val="0"/>
        <w:autoSpaceDE w:val="0"/>
        <w:autoSpaceDN w:val="0"/>
        <w:adjustRightInd w:val="0"/>
        <w:spacing w:after="0"/>
        <w:contextualSpacing w:val="0"/>
        <w:rPr>
          <w:rFonts w:asciiTheme="minorHAnsi" w:hAnsiTheme="minorHAnsi" w:cs="Tahoma"/>
          <w:bCs/>
        </w:rPr>
      </w:pPr>
      <w:r w:rsidRPr="00705F4F">
        <w:rPr>
          <w:rFonts w:asciiTheme="minorHAnsi" w:hAnsiTheme="minorHAnsi" w:cs="Tahoma"/>
          <w:bCs/>
        </w:rPr>
        <w:t xml:space="preserve">Cultivate and lead a high-performing team culture grounded in collaboration, capability </w:t>
      </w:r>
      <w:r w:rsidRPr="005B30D2">
        <w:rPr>
          <w:rFonts w:asciiTheme="minorHAnsi" w:hAnsiTheme="minorHAnsi" w:cs="Tahoma"/>
          <w:bCs/>
        </w:rPr>
        <w:t>development, knowledge sharing, and transparent communication.</w:t>
      </w:r>
    </w:p>
    <w:p w14:paraId="72B50B9D" w14:textId="7392E3D1" w:rsidR="00B16040" w:rsidRDefault="00B16040" w:rsidP="004E03DA">
      <w:pPr>
        <w:widowControl w:val="0"/>
        <w:suppressAutoHyphens w:val="0"/>
        <w:autoSpaceDE w:val="0"/>
        <w:autoSpaceDN w:val="0"/>
        <w:adjustRightInd w:val="0"/>
        <w:spacing w:after="0"/>
        <w:ind w:left="360"/>
        <w:rPr>
          <w:rFonts w:asciiTheme="minorHAnsi" w:hAnsiTheme="minorHAnsi" w:cs="Tahoma"/>
          <w:bCs/>
          <w:highlight w:val="yellow"/>
        </w:rPr>
      </w:pPr>
    </w:p>
    <w:p w14:paraId="3A3641E5" w14:textId="77777777" w:rsidR="00AA6D51" w:rsidRDefault="00AA6D51" w:rsidP="00AA6D51">
      <w:r w:rsidRPr="0012339B">
        <w:rPr>
          <w:rFonts w:asciiTheme="minorHAnsi" w:hAnsiTheme="minorHAnsi" w:cs="Arial"/>
          <w:szCs w:val="24"/>
          <w:lang w:eastAsia="en-US"/>
        </w:rPr>
        <w:t>In addition, Senior Executive Service (SES) Members must do their job in accordance with the closing the gap principle. Further information about the closing the gap principle is included in section 8(4) of the</w:t>
      </w:r>
      <w:r w:rsidRPr="0012339B">
        <w:rPr>
          <w:i/>
          <w:color w:val="0070C0"/>
          <w:szCs w:val="24"/>
        </w:rPr>
        <w:t xml:space="preserve"> </w:t>
      </w:r>
      <w:hyperlink r:id="rId15" w:history="1">
        <w:r w:rsidRPr="0012339B">
          <w:rPr>
            <w:rStyle w:val="Hyperlink"/>
            <w:i/>
            <w:szCs w:val="24"/>
          </w:rPr>
          <w:t>Public Sector Management Act</w:t>
        </w:r>
      </w:hyperlink>
    </w:p>
    <w:p w14:paraId="73F2CE51" w14:textId="3FB9BD81" w:rsidR="009F0804" w:rsidRPr="00B16040" w:rsidRDefault="009F0804" w:rsidP="00B16040">
      <w:pPr>
        <w:widowControl w:val="0"/>
        <w:suppressAutoHyphens w:val="0"/>
        <w:autoSpaceDE w:val="0"/>
        <w:autoSpaceDN w:val="0"/>
        <w:adjustRightInd w:val="0"/>
        <w:spacing w:after="0"/>
        <w:rPr>
          <w:rFonts w:asciiTheme="minorHAnsi" w:hAnsiTheme="minorHAnsi" w:cs="Tahoma"/>
          <w:bCs/>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61C86797" w14:textId="77777777" w:rsidR="00B020A3" w:rsidRPr="005E63EE" w:rsidRDefault="00B020A3" w:rsidP="00B020A3">
      <w:pPr>
        <w:rPr>
          <w:szCs w:val="24"/>
        </w:rPr>
      </w:pPr>
      <w:r w:rsidRPr="005E63EE">
        <w:rPr>
          <w:rFonts w:cs="Arial"/>
          <w:szCs w:val="24"/>
        </w:rPr>
        <w:t>The position requires outstanding leadership, relationship management and communication skills. A commitment to public service integrity and people management is essential. Applicants should have demonstrated leadership experience in public sector governance and people capability management, and a demonstrated capacity to contribute to and support various activities across the Directorate</w:t>
      </w:r>
      <w:r>
        <w:rPr>
          <w:rFonts w:cs="Arial"/>
          <w:szCs w:val="24"/>
        </w:rPr>
        <w:t xml:space="preserve"> and Territory</w:t>
      </w:r>
      <w:r w:rsidRPr="005E63EE">
        <w:rPr>
          <w:rFonts w:cs="Arial"/>
          <w:szCs w:val="24"/>
        </w:rPr>
        <w:t xml:space="preserve">. </w:t>
      </w:r>
    </w:p>
    <w:p w14:paraId="49CC42B8" w14:textId="77777777" w:rsidR="008C0BF9" w:rsidRPr="00B020A3" w:rsidRDefault="008C0BF9" w:rsidP="008C0BF9">
      <w:pPr>
        <w:rPr>
          <w:rFonts w:cs="Arial"/>
          <w:szCs w:val="24"/>
        </w:rPr>
      </w:pPr>
      <w:r w:rsidRPr="00B020A3">
        <w:rPr>
          <w:rFonts w:cs="Arial"/>
          <w:szCs w:val="24"/>
        </w:rPr>
        <w:lastRenderedPageBreak/>
        <w:t xml:space="preserve">Tertiary qualifications in a relevant field will be highly desirable.  </w:t>
      </w:r>
    </w:p>
    <w:p w14:paraId="7452DC97" w14:textId="4E680759" w:rsidR="00C71599" w:rsidRPr="00C71599" w:rsidRDefault="008C0BF9" w:rsidP="00C71599">
      <w:pPr>
        <w:rPr>
          <w:rFonts w:cs="Arial"/>
          <w:szCs w:val="24"/>
        </w:rPr>
      </w:pPr>
      <w:r w:rsidRPr="00B020A3">
        <w:rPr>
          <w:rFonts w:cs="Arial"/>
          <w:szCs w:val="24"/>
        </w:rPr>
        <w:t>Applications should address the selection criteria below which are based on the ACTPS Executive Capabilities.</w:t>
      </w:r>
    </w:p>
    <w:p w14:paraId="66898862" w14:textId="3C7E13DB" w:rsidR="00C71599" w:rsidRPr="00C71599" w:rsidRDefault="00C71599" w:rsidP="00C71599">
      <w:pPr>
        <w:pStyle w:val="BodyText"/>
      </w:pPr>
      <w:r w:rsidRPr="00C71599">
        <w:t xml:space="preserve">In addition, commencing 1 July 2026 Senior Executive Service (SES) Members must do their job in accordance with the closing the gap principle. Further information about the closing the gap principle is included in section 8(4) of the </w:t>
      </w:r>
      <w:hyperlink r:id="rId16" w:history="1">
        <w:r w:rsidRPr="00C71599">
          <w:rPr>
            <w:rStyle w:val="Hyperlink"/>
          </w:rPr>
          <w:t>Public Sector Management Act</w:t>
        </w:r>
      </w:hyperlink>
      <w:r w:rsidRPr="00C71599">
        <w:t>.</w:t>
      </w:r>
    </w:p>
    <w:p w14:paraId="7487FE49" w14:textId="77777777" w:rsidR="008C0BF9" w:rsidRPr="00486EF2" w:rsidRDefault="008C0BF9" w:rsidP="008C0BF9">
      <w:pPr>
        <w:widowControl w:val="0"/>
        <w:suppressAutoHyphens w:val="0"/>
        <w:overflowPunct w:val="0"/>
        <w:autoSpaceDE w:val="0"/>
        <w:autoSpaceDN w:val="0"/>
        <w:adjustRightInd w:val="0"/>
        <w:spacing w:after="0"/>
        <w:rPr>
          <w:rFonts w:asciiTheme="minorHAnsi" w:hAnsiTheme="minorHAnsi"/>
          <w:iCs/>
          <w:szCs w:val="24"/>
        </w:rPr>
      </w:pPr>
      <w:r w:rsidRPr="00486EF2">
        <w:rPr>
          <w:rFonts w:asciiTheme="minorHAnsi" w:hAnsiTheme="minorHAnsi"/>
          <w:b/>
          <w:bCs/>
          <w:iCs/>
          <w:szCs w:val="24"/>
        </w:rPr>
        <w:t>Leads and values people</w:t>
      </w:r>
    </w:p>
    <w:p w14:paraId="20333D8B" w14:textId="77777777" w:rsidR="008C0BF9" w:rsidRPr="00486EF2" w:rsidRDefault="008C0BF9" w:rsidP="008C0BF9">
      <w:pPr>
        <w:pStyle w:val="Default"/>
        <w:numPr>
          <w:ilvl w:val="0"/>
          <w:numId w:val="10"/>
        </w:numPr>
        <w:ind w:left="1077" w:hanging="357"/>
        <w:rPr>
          <w:rFonts w:asciiTheme="minorHAnsi" w:hAnsiTheme="minorHAnsi"/>
        </w:rPr>
      </w:pPr>
      <w:r w:rsidRPr="00486EF2">
        <w:rPr>
          <w:rFonts w:asciiTheme="minorHAnsi" w:hAnsiTheme="minorHAnsi"/>
        </w:rPr>
        <w:t xml:space="preserve">Motivates and develops people </w:t>
      </w:r>
    </w:p>
    <w:p w14:paraId="68CCBD42" w14:textId="77777777" w:rsidR="008C0BF9" w:rsidRPr="00486EF2" w:rsidRDefault="008C0BF9" w:rsidP="008C0BF9">
      <w:pPr>
        <w:pStyle w:val="Default"/>
        <w:numPr>
          <w:ilvl w:val="0"/>
          <w:numId w:val="10"/>
        </w:numPr>
        <w:ind w:left="1077" w:hanging="357"/>
        <w:rPr>
          <w:rFonts w:asciiTheme="minorHAnsi" w:hAnsiTheme="minorHAnsi"/>
        </w:rPr>
      </w:pPr>
      <w:r w:rsidRPr="00486EF2">
        <w:rPr>
          <w:rFonts w:asciiTheme="minorHAnsi" w:hAnsiTheme="minorHAnsi"/>
        </w:rPr>
        <w:t xml:space="preserve">Values diversity and respects individuals </w:t>
      </w:r>
    </w:p>
    <w:p w14:paraId="11857CEC" w14:textId="70B7A6CD" w:rsidR="008C0BF9" w:rsidRPr="00486EF2" w:rsidRDefault="008C0BF9" w:rsidP="008C0BF9">
      <w:pPr>
        <w:pStyle w:val="Default"/>
        <w:numPr>
          <w:ilvl w:val="0"/>
          <w:numId w:val="10"/>
        </w:numPr>
        <w:ind w:left="1077" w:hanging="357"/>
        <w:rPr>
          <w:rFonts w:asciiTheme="minorHAnsi" w:hAnsiTheme="minorHAnsi"/>
        </w:rPr>
      </w:pPr>
      <w:r w:rsidRPr="00486EF2">
        <w:rPr>
          <w:rFonts w:asciiTheme="minorHAnsi" w:hAnsiTheme="minorHAnsi"/>
        </w:rPr>
        <w:t>Builds a culture of improving practice</w:t>
      </w:r>
    </w:p>
    <w:p w14:paraId="49162B72" w14:textId="77777777" w:rsidR="008C0BF9" w:rsidRPr="00486EF2" w:rsidRDefault="008C0BF9" w:rsidP="008C0BF9">
      <w:pPr>
        <w:pStyle w:val="Default"/>
        <w:spacing w:before="120" w:after="120"/>
        <w:rPr>
          <w:rFonts w:asciiTheme="minorHAnsi" w:hAnsiTheme="minorHAnsi"/>
        </w:rPr>
      </w:pPr>
      <w:r w:rsidRPr="00486EF2">
        <w:rPr>
          <w:rFonts w:asciiTheme="minorHAnsi" w:hAnsiTheme="minorHAnsi"/>
          <w:b/>
          <w:bCs/>
        </w:rPr>
        <w:t xml:space="preserve">Shapes strategic thinking </w:t>
      </w:r>
    </w:p>
    <w:p w14:paraId="728D99B7" w14:textId="77777777" w:rsidR="008C0BF9" w:rsidRPr="00486EF2" w:rsidRDefault="008C0BF9" w:rsidP="008C0BF9">
      <w:pPr>
        <w:pStyle w:val="Default"/>
        <w:numPr>
          <w:ilvl w:val="0"/>
          <w:numId w:val="10"/>
        </w:numPr>
        <w:ind w:left="1077" w:hanging="357"/>
        <w:rPr>
          <w:rFonts w:asciiTheme="minorHAnsi" w:hAnsiTheme="minorHAnsi"/>
        </w:rPr>
      </w:pPr>
      <w:r w:rsidRPr="00486EF2">
        <w:rPr>
          <w:rFonts w:asciiTheme="minorHAnsi" w:hAnsiTheme="minorHAnsi"/>
        </w:rPr>
        <w:t xml:space="preserve">Inspires a sense of purpose and direction </w:t>
      </w:r>
    </w:p>
    <w:p w14:paraId="3D4EF180" w14:textId="77777777" w:rsidR="008C0BF9" w:rsidRPr="00486EF2" w:rsidRDefault="008C0BF9" w:rsidP="008C0BF9">
      <w:pPr>
        <w:pStyle w:val="Default"/>
        <w:numPr>
          <w:ilvl w:val="0"/>
          <w:numId w:val="10"/>
        </w:numPr>
        <w:ind w:left="1077" w:hanging="357"/>
        <w:rPr>
          <w:rFonts w:asciiTheme="minorHAnsi" w:hAnsiTheme="minorHAnsi"/>
        </w:rPr>
      </w:pPr>
      <w:r w:rsidRPr="00486EF2">
        <w:rPr>
          <w:rFonts w:asciiTheme="minorHAnsi" w:hAnsiTheme="minorHAnsi"/>
        </w:rPr>
        <w:t xml:space="preserve">Encourages innovation and engages with risk </w:t>
      </w:r>
    </w:p>
    <w:p w14:paraId="18938442" w14:textId="77777777" w:rsidR="008C0BF9" w:rsidRPr="00486EF2" w:rsidRDefault="008C0BF9" w:rsidP="008C0BF9">
      <w:pPr>
        <w:pStyle w:val="Default"/>
        <w:numPr>
          <w:ilvl w:val="0"/>
          <w:numId w:val="10"/>
        </w:numPr>
        <w:ind w:left="1077" w:hanging="357"/>
        <w:rPr>
          <w:rFonts w:asciiTheme="minorHAnsi" w:hAnsiTheme="minorHAnsi"/>
        </w:rPr>
      </w:pPr>
      <w:bookmarkStart w:id="0" w:name="_Hlk208495560"/>
      <w:r w:rsidRPr="00486EF2">
        <w:rPr>
          <w:rFonts w:asciiTheme="minorHAnsi" w:hAnsiTheme="minorHAnsi"/>
        </w:rPr>
        <w:t>Thinks broadly and develops solutions</w:t>
      </w:r>
    </w:p>
    <w:bookmarkEnd w:id="0"/>
    <w:p w14:paraId="6E4599C3" w14:textId="77777777" w:rsidR="008C0BF9" w:rsidRPr="00486EF2" w:rsidRDefault="008C0BF9" w:rsidP="008C0BF9">
      <w:pPr>
        <w:pStyle w:val="Default"/>
        <w:spacing w:before="120" w:after="120"/>
        <w:rPr>
          <w:rFonts w:asciiTheme="minorHAnsi" w:hAnsiTheme="minorHAnsi"/>
        </w:rPr>
      </w:pPr>
      <w:r w:rsidRPr="00486EF2">
        <w:rPr>
          <w:rFonts w:asciiTheme="minorHAnsi" w:hAnsiTheme="minorHAnsi"/>
          <w:b/>
          <w:bCs/>
        </w:rPr>
        <w:t xml:space="preserve">Achieves results with integrity </w:t>
      </w:r>
    </w:p>
    <w:p w14:paraId="7F28BA1C" w14:textId="77777777" w:rsidR="008C0BF9" w:rsidRPr="00486EF2" w:rsidRDefault="008C0BF9" w:rsidP="008C0BF9">
      <w:pPr>
        <w:pStyle w:val="Default"/>
        <w:numPr>
          <w:ilvl w:val="0"/>
          <w:numId w:val="10"/>
        </w:numPr>
        <w:ind w:left="1077" w:hanging="357"/>
        <w:rPr>
          <w:rFonts w:asciiTheme="minorHAnsi" w:hAnsiTheme="minorHAnsi"/>
        </w:rPr>
      </w:pPr>
      <w:r w:rsidRPr="00486EF2">
        <w:rPr>
          <w:rFonts w:asciiTheme="minorHAnsi" w:hAnsiTheme="minorHAnsi"/>
        </w:rPr>
        <w:t xml:space="preserve">Develops organisational capability to deliver results </w:t>
      </w:r>
    </w:p>
    <w:p w14:paraId="5878B024" w14:textId="77777777" w:rsidR="008C0BF9" w:rsidRPr="00486EF2" w:rsidRDefault="008C0BF9" w:rsidP="008C0BF9">
      <w:pPr>
        <w:pStyle w:val="Default"/>
        <w:numPr>
          <w:ilvl w:val="0"/>
          <w:numId w:val="10"/>
        </w:numPr>
        <w:ind w:left="1077" w:hanging="357"/>
        <w:rPr>
          <w:rFonts w:asciiTheme="minorHAnsi" w:hAnsiTheme="minorHAnsi"/>
        </w:rPr>
      </w:pPr>
      <w:r w:rsidRPr="00486EF2">
        <w:rPr>
          <w:rFonts w:asciiTheme="minorHAnsi" w:hAnsiTheme="minorHAnsi"/>
        </w:rPr>
        <w:t xml:space="preserve">Manages resources wisely and with probity </w:t>
      </w:r>
    </w:p>
    <w:p w14:paraId="290A4B8B" w14:textId="77777777" w:rsidR="008C0BF9" w:rsidRPr="00486EF2" w:rsidRDefault="008C0BF9" w:rsidP="008C0BF9">
      <w:pPr>
        <w:pStyle w:val="Default"/>
        <w:numPr>
          <w:ilvl w:val="0"/>
          <w:numId w:val="10"/>
        </w:numPr>
        <w:ind w:left="1077" w:hanging="357"/>
        <w:rPr>
          <w:rFonts w:asciiTheme="minorHAnsi" w:hAnsiTheme="minorHAnsi"/>
        </w:rPr>
      </w:pPr>
      <w:r w:rsidRPr="00486EF2">
        <w:rPr>
          <w:rFonts w:asciiTheme="minorHAnsi" w:hAnsiTheme="minorHAnsi"/>
        </w:rPr>
        <w:t xml:space="preserve">Progresses evidence-based policies and procedures </w:t>
      </w:r>
    </w:p>
    <w:p w14:paraId="0B00CDA5" w14:textId="77777777" w:rsidR="008C0BF9" w:rsidRPr="00486EF2" w:rsidRDefault="008C0BF9" w:rsidP="008C0BF9">
      <w:pPr>
        <w:pStyle w:val="Default"/>
        <w:numPr>
          <w:ilvl w:val="0"/>
          <w:numId w:val="10"/>
        </w:numPr>
        <w:ind w:left="1077" w:hanging="357"/>
        <w:rPr>
          <w:rFonts w:asciiTheme="minorHAnsi" w:hAnsiTheme="minorHAnsi"/>
        </w:rPr>
      </w:pPr>
      <w:r w:rsidRPr="00486EF2">
        <w:rPr>
          <w:rFonts w:asciiTheme="minorHAnsi" w:hAnsiTheme="minorHAnsi"/>
        </w:rPr>
        <w:t>Shows sound judgement, is responsive and ethical</w:t>
      </w:r>
    </w:p>
    <w:p w14:paraId="38DDE49F" w14:textId="77777777" w:rsidR="008C0BF9" w:rsidRPr="00486EF2" w:rsidRDefault="008C0BF9" w:rsidP="008C0BF9">
      <w:pPr>
        <w:pStyle w:val="Default"/>
        <w:spacing w:before="120" w:after="120"/>
        <w:rPr>
          <w:rFonts w:asciiTheme="minorHAnsi" w:hAnsiTheme="minorHAnsi"/>
        </w:rPr>
      </w:pPr>
      <w:r w:rsidRPr="00486EF2">
        <w:rPr>
          <w:rFonts w:asciiTheme="minorHAnsi" w:hAnsiTheme="minorHAnsi"/>
          <w:b/>
          <w:bCs/>
        </w:rPr>
        <w:t xml:space="preserve">Fosters collaboration </w:t>
      </w:r>
    </w:p>
    <w:p w14:paraId="33986BA6" w14:textId="77777777" w:rsidR="008C0BF9" w:rsidRPr="00486EF2" w:rsidRDefault="008C0BF9" w:rsidP="008C0BF9">
      <w:pPr>
        <w:pStyle w:val="Default"/>
        <w:numPr>
          <w:ilvl w:val="0"/>
          <w:numId w:val="10"/>
        </w:numPr>
        <w:ind w:left="1077" w:hanging="357"/>
        <w:rPr>
          <w:rFonts w:asciiTheme="minorHAnsi" w:hAnsiTheme="minorHAnsi"/>
        </w:rPr>
      </w:pPr>
      <w:r w:rsidRPr="00486EF2">
        <w:rPr>
          <w:rFonts w:asciiTheme="minorHAnsi" w:hAnsiTheme="minorHAnsi"/>
        </w:rPr>
        <w:t xml:space="preserve">Listens and communicates with influence </w:t>
      </w:r>
    </w:p>
    <w:p w14:paraId="79668882" w14:textId="77777777" w:rsidR="008C0BF9" w:rsidRPr="00486EF2" w:rsidRDefault="008C0BF9" w:rsidP="008C0BF9">
      <w:pPr>
        <w:pStyle w:val="Default"/>
        <w:numPr>
          <w:ilvl w:val="0"/>
          <w:numId w:val="10"/>
        </w:numPr>
        <w:ind w:left="1077" w:hanging="357"/>
        <w:rPr>
          <w:rFonts w:asciiTheme="minorHAnsi" w:hAnsiTheme="minorHAnsi"/>
        </w:rPr>
      </w:pPr>
      <w:r w:rsidRPr="00486EF2">
        <w:rPr>
          <w:rFonts w:asciiTheme="minorHAnsi" w:hAnsiTheme="minorHAnsi"/>
        </w:rPr>
        <w:t xml:space="preserve">Engages effectively across government </w:t>
      </w:r>
    </w:p>
    <w:p w14:paraId="7C47B30F" w14:textId="77777777" w:rsidR="00B020A3" w:rsidRPr="00486EF2" w:rsidRDefault="008C0BF9" w:rsidP="00B020A3">
      <w:pPr>
        <w:pStyle w:val="Default"/>
        <w:numPr>
          <w:ilvl w:val="0"/>
          <w:numId w:val="10"/>
        </w:numPr>
        <w:ind w:left="1077" w:hanging="357"/>
        <w:rPr>
          <w:rFonts w:asciiTheme="minorHAnsi" w:hAnsiTheme="minorHAnsi"/>
        </w:rPr>
      </w:pPr>
      <w:r w:rsidRPr="00486EF2">
        <w:rPr>
          <w:rFonts w:asciiTheme="minorHAnsi" w:hAnsiTheme="minorHAnsi"/>
        </w:rPr>
        <w:t>Builds and maintains key relationships</w:t>
      </w:r>
    </w:p>
    <w:p w14:paraId="40FE4833" w14:textId="65AD4EBE" w:rsidR="008C0BF9" w:rsidRPr="00486EF2" w:rsidRDefault="008C0BF9" w:rsidP="00B020A3">
      <w:pPr>
        <w:pStyle w:val="Default"/>
        <w:spacing w:before="120" w:after="120"/>
        <w:rPr>
          <w:rFonts w:asciiTheme="minorHAnsi" w:hAnsiTheme="minorHAnsi"/>
          <w:b/>
          <w:bCs/>
        </w:rPr>
      </w:pPr>
      <w:r w:rsidRPr="00486EF2">
        <w:rPr>
          <w:rFonts w:asciiTheme="minorHAnsi" w:hAnsiTheme="minorHAnsi"/>
          <w:b/>
          <w:bCs/>
        </w:rPr>
        <w:t>Exemplifies citizen, community and service focus</w:t>
      </w:r>
    </w:p>
    <w:p w14:paraId="76249461" w14:textId="77777777" w:rsidR="008C0BF9" w:rsidRPr="00486EF2" w:rsidRDefault="008C0BF9" w:rsidP="00B020A3">
      <w:pPr>
        <w:pStyle w:val="Default"/>
        <w:numPr>
          <w:ilvl w:val="0"/>
          <w:numId w:val="10"/>
        </w:numPr>
        <w:ind w:left="1077" w:hanging="357"/>
        <w:rPr>
          <w:rFonts w:asciiTheme="minorHAnsi" w:hAnsiTheme="minorHAnsi"/>
        </w:rPr>
      </w:pPr>
      <w:r w:rsidRPr="00486EF2">
        <w:rPr>
          <w:rFonts w:asciiTheme="minorHAnsi" w:hAnsiTheme="minorHAnsi"/>
        </w:rPr>
        <w:t xml:space="preserve">Understands, anticipates and evaluates client needs </w:t>
      </w:r>
    </w:p>
    <w:p w14:paraId="745D54DB" w14:textId="77777777" w:rsidR="008C0BF9" w:rsidRPr="00486EF2" w:rsidRDefault="008C0BF9" w:rsidP="00B020A3">
      <w:pPr>
        <w:pStyle w:val="Default"/>
        <w:numPr>
          <w:ilvl w:val="0"/>
          <w:numId w:val="10"/>
        </w:numPr>
        <w:ind w:left="1077" w:hanging="357"/>
        <w:rPr>
          <w:rFonts w:asciiTheme="minorHAnsi" w:hAnsiTheme="minorHAnsi"/>
        </w:rPr>
      </w:pPr>
      <w:r w:rsidRPr="00486EF2">
        <w:rPr>
          <w:rFonts w:asciiTheme="minorHAnsi" w:hAnsiTheme="minorHAnsi"/>
        </w:rPr>
        <w:t xml:space="preserve">Creates partnerships and co-operation </w:t>
      </w:r>
    </w:p>
    <w:p w14:paraId="3B8D4D12" w14:textId="77777777" w:rsidR="008C0BF9" w:rsidRPr="00486EF2" w:rsidRDefault="008C0BF9" w:rsidP="00B020A3">
      <w:pPr>
        <w:pStyle w:val="Default"/>
        <w:numPr>
          <w:ilvl w:val="0"/>
          <w:numId w:val="10"/>
        </w:numPr>
        <w:ind w:left="1077" w:hanging="357"/>
        <w:rPr>
          <w:rFonts w:asciiTheme="minorHAnsi" w:hAnsiTheme="minorHAnsi"/>
        </w:rPr>
      </w:pPr>
      <w:r w:rsidRPr="00486EF2">
        <w:rPr>
          <w:rFonts w:asciiTheme="minorHAnsi" w:hAnsiTheme="minorHAnsi"/>
        </w:rPr>
        <w:t>Works to improve outcomes</w:t>
      </w:r>
    </w:p>
    <w:p w14:paraId="3BEBD806" w14:textId="77777777" w:rsidR="00B020A3" w:rsidRDefault="00B020A3" w:rsidP="00B020A3">
      <w:pPr>
        <w:pStyle w:val="Heading1"/>
        <w:pBdr>
          <w:bottom w:val="single" w:sz="12" w:space="1" w:color="auto"/>
        </w:pBdr>
        <w:spacing w:before="360"/>
        <w:rPr>
          <w:sz w:val="28"/>
        </w:rPr>
      </w:pPr>
      <w:r>
        <w:rPr>
          <w:sz w:val="28"/>
        </w:rPr>
        <w:t>REMUNERATION</w:t>
      </w:r>
    </w:p>
    <w:p w14:paraId="61CB2715" w14:textId="77777777" w:rsidR="00B020A3" w:rsidRPr="008C3045" w:rsidRDefault="00B020A3" w:rsidP="00B020A3">
      <w:pPr>
        <w:pStyle w:val="BodyText"/>
        <w:tabs>
          <w:tab w:val="left" w:pos="900"/>
        </w:tabs>
        <w:spacing w:after="0"/>
        <w:rPr>
          <w:rFonts w:asciiTheme="minorHAnsi" w:hAnsiTheme="minorHAnsi" w:cstheme="minorHAnsi"/>
          <w:sz w:val="24"/>
          <w:szCs w:val="24"/>
        </w:rPr>
      </w:pPr>
      <w:r w:rsidRPr="008C3045">
        <w:rPr>
          <w:rFonts w:asciiTheme="minorHAnsi" w:hAnsiTheme="minorHAnsi" w:cstheme="minorHAnsi"/>
          <w:sz w:val="24"/>
          <w:szCs w:val="24"/>
          <w:lang w:val="en-US"/>
        </w:rPr>
        <w:t xml:space="preserve">Remuneration, allowances and other entitlements for ACTPS Executives are determined by the ACT Remuneration Tribunal. These details are available at </w:t>
      </w:r>
      <w:hyperlink r:id="rId17" w:history="1">
        <w:r w:rsidRPr="008C3045">
          <w:rPr>
            <w:rStyle w:val="Hyperlink"/>
            <w:rFonts w:asciiTheme="minorHAnsi" w:hAnsiTheme="minorHAnsi" w:cstheme="minorHAnsi"/>
            <w:sz w:val="24"/>
            <w:szCs w:val="24"/>
          </w:rPr>
          <w:t>https://www.remunerationtribunal.act.gov.au/determinations</w:t>
        </w:r>
      </w:hyperlink>
    </w:p>
    <w:p w14:paraId="49A746B7" w14:textId="77777777" w:rsidR="00B020A3" w:rsidRPr="008C3045" w:rsidRDefault="00B020A3" w:rsidP="00B020A3">
      <w:pPr>
        <w:pStyle w:val="BodyText"/>
        <w:tabs>
          <w:tab w:val="left" w:pos="900"/>
        </w:tabs>
        <w:spacing w:after="0"/>
        <w:rPr>
          <w:rFonts w:asciiTheme="minorHAnsi" w:hAnsiTheme="minorHAnsi" w:cstheme="minorHAnsi"/>
          <w:sz w:val="24"/>
          <w:szCs w:val="24"/>
          <w:lang w:val="en-US"/>
        </w:rPr>
      </w:pPr>
    </w:p>
    <w:p w14:paraId="3150BE83" w14:textId="77777777" w:rsidR="00B020A3" w:rsidRPr="008C3045" w:rsidRDefault="00B020A3" w:rsidP="00B020A3">
      <w:pPr>
        <w:pStyle w:val="BodyText"/>
        <w:tabs>
          <w:tab w:val="left" w:pos="900"/>
        </w:tabs>
        <w:rPr>
          <w:rFonts w:asciiTheme="minorHAnsi" w:hAnsiTheme="minorHAnsi" w:cstheme="minorHAnsi"/>
          <w:sz w:val="24"/>
          <w:szCs w:val="24"/>
        </w:rPr>
      </w:pPr>
      <w:r w:rsidRPr="008C3045">
        <w:rPr>
          <w:rFonts w:asciiTheme="minorHAnsi" w:hAnsiTheme="minorHAnsi" w:cstheme="minorHAnsi"/>
          <w:sz w:val="24"/>
          <w:szCs w:val="24"/>
        </w:rPr>
        <w:t>Superannuation for some defined benefit schemes from other jurisdictions are portable to ACT Government in some circumstances.</w:t>
      </w:r>
    </w:p>
    <w:p w14:paraId="01A96DE0" w14:textId="77777777" w:rsidR="00B020A3" w:rsidRPr="008C3045" w:rsidRDefault="00B020A3" w:rsidP="00B020A3">
      <w:pPr>
        <w:pStyle w:val="BodyText"/>
        <w:tabs>
          <w:tab w:val="left" w:pos="900"/>
        </w:tabs>
        <w:rPr>
          <w:rFonts w:asciiTheme="minorHAnsi" w:hAnsiTheme="minorHAnsi" w:cstheme="minorHAnsi"/>
          <w:i/>
          <w:color w:val="0000FF"/>
          <w:sz w:val="24"/>
          <w:szCs w:val="24"/>
          <w:u w:val="single"/>
        </w:rPr>
      </w:pPr>
      <w:r w:rsidRPr="008C3045">
        <w:rPr>
          <w:rFonts w:asciiTheme="minorHAnsi" w:hAnsiTheme="minorHAnsi" w:cstheme="minorHAnsi"/>
          <w:sz w:val="24"/>
          <w:szCs w:val="24"/>
        </w:rPr>
        <w:t xml:space="preserve">Allowances and entitlements are outlined in the </w:t>
      </w:r>
      <w:hyperlink r:id="rId18" w:history="1">
        <w:r w:rsidRPr="008C3045">
          <w:rPr>
            <w:rStyle w:val="Hyperlink"/>
            <w:rFonts w:asciiTheme="minorHAnsi" w:hAnsiTheme="minorHAnsi" w:cstheme="minorHAnsi"/>
            <w:i/>
            <w:sz w:val="24"/>
            <w:szCs w:val="24"/>
          </w:rPr>
          <w:t>Public Sector Management Standards 2016</w:t>
        </w:r>
      </w:hyperlink>
    </w:p>
    <w:p w14:paraId="5BE8EC63" w14:textId="77777777" w:rsidR="00B020A3" w:rsidRPr="008C3045" w:rsidRDefault="00B020A3" w:rsidP="00B020A3">
      <w:pPr>
        <w:overflowPunct w:val="0"/>
        <w:spacing w:after="0"/>
        <w:rPr>
          <w:rFonts w:asciiTheme="minorHAnsi" w:hAnsiTheme="minorHAnsi" w:cstheme="minorHAnsi"/>
          <w:szCs w:val="24"/>
        </w:rPr>
      </w:pPr>
      <w:bookmarkStart w:id="1" w:name="_Hlk124174777"/>
      <w:r w:rsidRPr="008C3045">
        <w:rPr>
          <w:rFonts w:asciiTheme="minorHAnsi" w:hAnsiTheme="minorHAnsi" w:cstheme="minorHAnsi"/>
          <w:szCs w:val="24"/>
        </w:rPr>
        <w:t xml:space="preserve">Further information about the ACTPS, including employment conditions, is available at </w:t>
      </w:r>
      <w:hyperlink r:id="rId19" w:history="1">
        <w:r w:rsidRPr="008C3045">
          <w:rPr>
            <w:rStyle w:val="Hyperlink"/>
            <w:rFonts w:asciiTheme="minorHAnsi" w:hAnsiTheme="minorHAnsi" w:cstheme="minorHAnsi"/>
            <w:bCs/>
            <w:szCs w:val="24"/>
          </w:rPr>
          <w:t>www.jobs.act.gov.au</w:t>
        </w:r>
      </w:hyperlink>
      <w:r w:rsidRPr="008C3045">
        <w:rPr>
          <w:rStyle w:val="Hyperlink"/>
          <w:rFonts w:asciiTheme="minorHAnsi" w:hAnsiTheme="minorHAnsi" w:cstheme="minorHAnsi"/>
          <w:bCs/>
          <w:szCs w:val="24"/>
        </w:rPr>
        <w:t>.</w:t>
      </w:r>
    </w:p>
    <w:bookmarkEnd w:id="1"/>
    <w:p w14:paraId="11C16CC8" w14:textId="77777777" w:rsidR="00B020A3" w:rsidRPr="008C3045" w:rsidRDefault="00B020A3" w:rsidP="00B020A3">
      <w:pPr>
        <w:pStyle w:val="BodyText"/>
        <w:kinsoku w:val="0"/>
        <w:overflowPunct w:val="0"/>
        <w:spacing w:after="0"/>
        <w:rPr>
          <w:rFonts w:asciiTheme="minorHAnsi" w:hAnsiTheme="minorHAnsi" w:cstheme="minorHAnsi"/>
          <w:sz w:val="24"/>
          <w:szCs w:val="24"/>
        </w:rPr>
      </w:pPr>
    </w:p>
    <w:p w14:paraId="0EC2DF04" w14:textId="111E3FBB" w:rsidR="00722672" w:rsidRPr="00722672" w:rsidRDefault="00722672" w:rsidP="00B020A3">
      <w:pPr>
        <w:pStyle w:val="Default"/>
        <w:spacing w:before="120" w:after="120"/>
        <w:rPr>
          <w:lang w:eastAsia="ja-JP"/>
        </w:rPr>
      </w:pPr>
    </w:p>
    <w:sectPr w:rsidR="00722672" w:rsidRPr="0072267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80DF" w14:textId="77777777" w:rsidR="00B50F32" w:rsidRDefault="00B50F32" w:rsidP="00456927">
      <w:pPr>
        <w:spacing w:after="0"/>
      </w:pPr>
      <w:r>
        <w:separator/>
      </w:r>
    </w:p>
  </w:endnote>
  <w:endnote w:type="continuationSeparator" w:id="0">
    <w:p w14:paraId="4FDAE8E8" w14:textId="77777777" w:rsidR="00B50F32" w:rsidRDefault="00B50F3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B9C2" w14:textId="77777777" w:rsidR="00B50F32" w:rsidRDefault="00B50F32" w:rsidP="00456927">
      <w:pPr>
        <w:spacing w:after="0"/>
      </w:pPr>
      <w:r>
        <w:separator/>
      </w:r>
    </w:p>
  </w:footnote>
  <w:footnote w:type="continuationSeparator" w:id="0">
    <w:p w14:paraId="1B55CDD5" w14:textId="77777777" w:rsidR="00B50F32" w:rsidRDefault="00B50F3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3971C9EE" w:rsidR="00BD0795" w:rsidRPr="00D541C2" w:rsidRDefault="00722672" w:rsidP="00237B8C">
    <w:pPr>
      <w:pStyle w:val="Header"/>
      <w:jc w:val="left"/>
    </w:pPr>
    <w:r>
      <w:rPr>
        <w:noProof/>
      </w:rPr>
      <w:drawing>
        <wp:inline distT="0" distB="0" distL="0" distR="0" wp14:anchorId="5D5C8208" wp14:editId="40F54D30">
          <wp:extent cx="1554459" cy="614855"/>
          <wp:effectExtent l="0" t="0" r="8255" b="0"/>
          <wp:docPr id="887404747" name="Picture 887404747" descr="&quot;ACT Government logo for the City and Environment Directorate, featuring a circular emblem with two birds flanking a shield, and the motto 'For the King, the Law, and the People'; accompanied by the text 'ACT Government' and 'City and Environment'.&quot;&#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uot;ACT Government logo for the City and Environment Directorate, featuring a circular emblem with two birds flanking a shield, and the motto 'For the King, the Law, and the People'; accompanied by the text 'ACT Government' and 'City and Environment'.&quot;&#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5346" cy="623117"/>
                  </a:xfrm>
                  <a:prstGeom prst="rect">
                    <a:avLst/>
                  </a:prstGeom>
                  <a:noFill/>
                  <a:ln>
                    <a:noFill/>
                  </a:ln>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A97D4F"/>
    <w:multiLevelType w:val="hybridMultilevel"/>
    <w:tmpl w:val="2700A7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D77B86"/>
    <w:multiLevelType w:val="hybridMultilevel"/>
    <w:tmpl w:val="20DC0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DE190E"/>
    <w:multiLevelType w:val="hybridMultilevel"/>
    <w:tmpl w:val="2DCA2404"/>
    <w:lvl w:ilvl="0" w:tplc="18643A5C">
      <w:start w:val="1"/>
      <w:numFmt w:val="decimal"/>
      <w:lvlText w:val="%1."/>
      <w:lvlJc w:val="left"/>
      <w:pPr>
        <w:ind w:left="720" w:hanging="360"/>
      </w:pPr>
      <w:rPr>
        <w:b/>
        <w:b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5E0EFA"/>
    <w:multiLevelType w:val="hybridMultilevel"/>
    <w:tmpl w:val="887470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9" w15:restartNumberingAfterBreak="0">
    <w:nsid w:val="485A59FD"/>
    <w:multiLevelType w:val="hybridMultilevel"/>
    <w:tmpl w:val="F9C46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C12FFF"/>
    <w:multiLevelType w:val="hybridMultilevel"/>
    <w:tmpl w:val="01AEAB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38F596B"/>
    <w:multiLevelType w:val="hybridMultilevel"/>
    <w:tmpl w:val="292E14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45B6C72"/>
    <w:multiLevelType w:val="hybridMultilevel"/>
    <w:tmpl w:val="6AA46BAE"/>
    <w:lvl w:ilvl="0" w:tplc="23B67292">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cs="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cs="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cs="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3" w15:restartNumberingAfterBreak="0">
    <w:nsid w:val="5BDA7665"/>
    <w:multiLevelType w:val="hybridMultilevel"/>
    <w:tmpl w:val="C97E7F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770F13"/>
    <w:multiLevelType w:val="hybridMultilevel"/>
    <w:tmpl w:val="F95ABD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7"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047488169">
    <w:abstractNumId w:val="7"/>
  </w:num>
  <w:num w:numId="2" w16cid:durableId="1536960860">
    <w:abstractNumId w:val="8"/>
  </w:num>
  <w:num w:numId="3" w16cid:durableId="38435536">
    <w:abstractNumId w:val="1"/>
  </w:num>
  <w:num w:numId="4" w16cid:durableId="119034905">
    <w:abstractNumId w:val="0"/>
  </w:num>
  <w:num w:numId="5" w16cid:durableId="1172254070">
    <w:abstractNumId w:val="16"/>
  </w:num>
  <w:num w:numId="6" w16cid:durableId="1728526378">
    <w:abstractNumId w:val="14"/>
  </w:num>
  <w:num w:numId="7" w16cid:durableId="1414817480">
    <w:abstractNumId w:val="9"/>
  </w:num>
  <w:num w:numId="8" w16cid:durableId="542836363">
    <w:abstractNumId w:val="12"/>
  </w:num>
  <w:num w:numId="9" w16cid:durableId="1398673876">
    <w:abstractNumId w:val="3"/>
  </w:num>
  <w:num w:numId="10" w16cid:durableId="1056468775">
    <w:abstractNumId w:val="15"/>
  </w:num>
  <w:num w:numId="11" w16cid:durableId="1891108972">
    <w:abstractNumId w:val="11"/>
  </w:num>
  <w:num w:numId="12" w16cid:durableId="435634661">
    <w:abstractNumId w:val="5"/>
  </w:num>
  <w:num w:numId="13" w16cid:durableId="2031906286">
    <w:abstractNumId w:val="2"/>
  </w:num>
  <w:num w:numId="14" w16cid:durableId="2094350228">
    <w:abstractNumId w:val="10"/>
  </w:num>
  <w:num w:numId="15" w16cid:durableId="12850498">
    <w:abstractNumId w:val="6"/>
  </w:num>
  <w:num w:numId="16" w16cid:durableId="569274863">
    <w:abstractNumId w:val="13"/>
  </w:num>
  <w:num w:numId="17" w16cid:durableId="540048104">
    <w:abstractNumId w:val="13"/>
  </w:num>
  <w:num w:numId="18" w16cid:durableId="534343299">
    <w:abstractNumId w:val="17"/>
  </w:num>
  <w:num w:numId="19" w16cid:durableId="65086823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4DE"/>
    <w:rsid w:val="00090C5A"/>
    <w:rsid w:val="00092BDF"/>
    <w:rsid w:val="00094562"/>
    <w:rsid w:val="0009609E"/>
    <w:rsid w:val="000A0D34"/>
    <w:rsid w:val="000A38E0"/>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16DC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D3C0B"/>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041F"/>
    <w:rsid w:val="002A43D2"/>
    <w:rsid w:val="002A49EE"/>
    <w:rsid w:val="002B1194"/>
    <w:rsid w:val="002B128F"/>
    <w:rsid w:val="002B288B"/>
    <w:rsid w:val="002B297D"/>
    <w:rsid w:val="002B4DD4"/>
    <w:rsid w:val="002C69C6"/>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3CD1"/>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B15F1"/>
    <w:rsid w:val="003C0264"/>
    <w:rsid w:val="003C592D"/>
    <w:rsid w:val="003C6256"/>
    <w:rsid w:val="003D3A6F"/>
    <w:rsid w:val="00402D13"/>
    <w:rsid w:val="004061F4"/>
    <w:rsid w:val="00410BF0"/>
    <w:rsid w:val="004121AA"/>
    <w:rsid w:val="004128B6"/>
    <w:rsid w:val="00422504"/>
    <w:rsid w:val="0042331E"/>
    <w:rsid w:val="00424FFE"/>
    <w:rsid w:val="0042794F"/>
    <w:rsid w:val="00433C25"/>
    <w:rsid w:val="00434524"/>
    <w:rsid w:val="0043559B"/>
    <w:rsid w:val="00436B75"/>
    <w:rsid w:val="00436FB2"/>
    <w:rsid w:val="00440644"/>
    <w:rsid w:val="00440D74"/>
    <w:rsid w:val="00441286"/>
    <w:rsid w:val="00441ECC"/>
    <w:rsid w:val="00442939"/>
    <w:rsid w:val="0044768B"/>
    <w:rsid w:val="00455CDA"/>
    <w:rsid w:val="00456927"/>
    <w:rsid w:val="00457BE7"/>
    <w:rsid w:val="00461819"/>
    <w:rsid w:val="004638A4"/>
    <w:rsid w:val="00464D35"/>
    <w:rsid w:val="00474A22"/>
    <w:rsid w:val="00475504"/>
    <w:rsid w:val="00477DFA"/>
    <w:rsid w:val="00480812"/>
    <w:rsid w:val="00481829"/>
    <w:rsid w:val="0048530A"/>
    <w:rsid w:val="00486EF2"/>
    <w:rsid w:val="0049289B"/>
    <w:rsid w:val="00492EE9"/>
    <w:rsid w:val="00493773"/>
    <w:rsid w:val="00495B39"/>
    <w:rsid w:val="004A2C60"/>
    <w:rsid w:val="004A3822"/>
    <w:rsid w:val="004A5A47"/>
    <w:rsid w:val="004A5DB6"/>
    <w:rsid w:val="004B3190"/>
    <w:rsid w:val="004B32D2"/>
    <w:rsid w:val="004C1716"/>
    <w:rsid w:val="004C57F9"/>
    <w:rsid w:val="004E03DA"/>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215C"/>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4958"/>
    <w:rsid w:val="00634E13"/>
    <w:rsid w:val="00645D88"/>
    <w:rsid w:val="006616A2"/>
    <w:rsid w:val="00665693"/>
    <w:rsid w:val="00666990"/>
    <w:rsid w:val="00666999"/>
    <w:rsid w:val="00674160"/>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1396"/>
    <w:rsid w:val="00722672"/>
    <w:rsid w:val="0072498E"/>
    <w:rsid w:val="00725080"/>
    <w:rsid w:val="00725362"/>
    <w:rsid w:val="00727237"/>
    <w:rsid w:val="00730593"/>
    <w:rsid w:val="00743724"/>
    <w:rsid w:val="007471D6"/>
    <w:rsid w:val="00750B78"/>
    <w:rsid w:val="00753085"/>
    <w:rsid w:val="00763125"/>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B5434"/>
    <w:rsid w:val="008C0BF9"/>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642B"/>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B3A9E"/>
    <w:rsid w:val="009B4408"/>
    <w:rsid w:val="009B56B6"/>
    <w:rsid w:val="009B61FE"/>
    <w:rsid w:val="009B7A0E"/>
    <w:rsid w:val="009C12E4"/>
    <w:rsid w:val="009C544A"/>
    <w:rsid w:val="009C7A6B"/>
    <w:rsid w:val="009D329B"/>
    <w:rsid w:val="009D33ED"/>
    <w:rsid w:val="009D3719"/>
    <w:rsid w:val="009D46E6"/>
    <w:rsid w:val="009D6C8B"/>
    <w:rsid w:val="009E0BA2"/>
    <w:rsid w:val="009E0BC2"/>
    <w:rsid w:val="009E1DD3"/>
    <w:rsid w:val="009E635F"/>
    <w:rsid w:val="009F068C"/>
    <w:rsid w:val="009F0804"/>
    <w:rsid w:val="009F3FFB"/>
    <w:rsid w:val="00A0134E"/>
    <w:rsid w:val="00A05E7F"/>
    <w:rsid w:val="00A076E8"/>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A376B"/>
    <w:rsid w:val="00AA6D51"/>
    <w:rsid w:val="00AB6B4E"/>
    <w:rsid w:val="00AC1E3C"/>
    <w:rsid w:val="00AD698B"/>
    <w:rsid w:val="00AE293C"/>
    <w:rsid w:val="00AE3735"/>
    <w:rsid w:val="00AE5DB5"/>
    <w:rsid w:val="00AF1222"/>
    <w:rsid w:val="00B018F3"/>
    <w:rsid w:val="00B020A3"/>
    <w:rsid w:val="00B02EB8"/>
    <w:rsid w:val="00B10AE6"/>
    <w:rsid w:val="00B132EF"/>
    <w:rsid w:val="00B14BBF"/>
    <w:rsid w:val="00B16040"/>
    <w:rsid w:val="00B16D45"/>
    <w:rsid w:val="00B1764A"/>
    <w:rsid w:val="00B20D4F"/>
    <w:rsid w:val="00B2281B"/>
    <w:rsid w:val="00B255F3"/>
    <w:rsid w:val="00B35396"/>
    <w:rsid w:val="00B35EEC"/>
    <w:rsid w:val="00B400BF"/>
    <w:rsid w:val="00B406B1"/>
    <w:rsid w:val="00B44F24"/>
    <w:rsid w:val="00B45C3A"/>
    <w:rsid w:val="00B50F32"/>
    <w:rsid w:val="00B521B7"/>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D6FCE"/>
    <w:rsid w:val="00BE45BF"/>
    <w:rsid w:val="00BE7DC3"/>
    <w:rsid w:val="00BF3387"/>
    <w:rsid w:val="00BF50AE"/>
    <w:rsid w:val="00BF6527"/>
    <w:rsid w:val="00C03BA9"/>
    <w:rsid w:val="00C100B3"/>
    <w:rsid w:val="00C11089"/>
    <w:rsid w:val="00C133A3"/>
    <w:rsid w:val="00C13E3C"/>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599"/>
    <w:rsid w:val="00C71D42"/>
    <w:rsid w:val="00C75A36"/>
    <w:rsid w:val="00C91044"/>
    <w:rsid w:val="00C92D9E"/>
    <w:rsid w:val="00C944C2"/>
    <w:rsid w:val="00CA0A2E"/>
    <w:rsid w:val="00CA1F62"/>
    <w:rsid w:val="00CA359C"/>
    <w:rsid w:val="00CB2FA2"/>
    <w:rsid w:val="00CB57DA"/>
    <w:rsid w:val="00CB75CC"/>
    <w:rsid w:val="00CC18B9"/>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45204"/>
    <w:rsid w:val="00D50DA6"/>
    <w:rsid w:val="00D541C2"/>
    <w:rsid w:val="00D56E65"/>
    <w:rsid w:val="00D60920"/>
    <w:rsid w:val="00D610BD"/>
    <w:rsid w:val="00D628E1"/>
    <w:rsid w:val="00D6348C"/>
    <w:rsid w:val="00D65D6F"/>
    <w:rsid w:val="00D66353"/>
    <w:rsid w:val="00D75169"/>
    <w:rsid w:val="00D8462B"/>
    <w:rsid w:val="00D85ACB"/>
    <w:rsid w:val="00D868F1"/>
    <w:rsid w:val="00D93FFB"/>
    <w:rsid w:val="00D97AFF"/>
    <w:rsid w:val="00DA095B"/>
    <w:rsid w:val="00DA4E54"/>
    <w:rsid w:val="00DC2FF8"/>
    <w:rsid w:val="00DC3343"/>
    <w:rsid w:val="00DC36A6"/>
    <w:rsid w:val="00DC5F70"/>
    <w:rsid w:val="00DC7F77"/>
    <w:rsid w:val="00DD195C"/>
    <w:rsid w:val="00DD3C26"/>
    <w:rsid w:val="00DD4461"/>
    <w:rsid w:val="00DD47F9"/>
    <w:rsid w:val="00DD59BC"/>
    <w:rsid w:val="00DF344C"/>
    <w:rsid w:val="00DF46B4"/>
    <w:rsid w:val="00E039FB"/>
    <w:rsid w:val="00E059B1"/>
    <w:rsid w:val="00E06429"/>
    <w:rsid w:val="00E11CED"/>
    <w:rsid w:val="00E152B4"/>
    <w:rsid w:val="00E160EF"/>
    <w:rsid w:val="00E2078F"/>
    <w:rsid w:val="00E220C5"/>
    <w:rsid w:val="00E223A3"/>
    <w:rsid w:val="00E242E5"/>
    <w:rsid w:val="00E27D70"/>
    <w:rsid w:val="00E30DA4"/>
    <w:rsid w:val="00E437EE"/>
    <w:rsid w:val="00E56D64"/>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1B60"/>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2672"/>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
    <w:basedOn w:val="Normal"/>
    <w:link w:val="ListParagraphChar"/>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
    <w:link w:val="ListParagraph"/>
    <w:locked/>
    <w:rsid w:val="00722672"/>
    <w:rPr>
      <w:sz w:val="24"/>
    </w:rPr>
  </w:style>
  <w:style w:type="paragraph" w:customStyle="1" w:styleId="Asubparabullet">
    <w:name w:val="A subpara bullet"/>
    <w:basedOn w:val="Normal"/>
    <w:rsid w:val="00722672"/>
    <w:pPr>
      <w:numPr>
        <w:numId w:val="8"/>
      </w:numPr>
      <w:suppressAutoHyphens w:val="0"/>
      <w:spacing w:after="0"/>
    </w:pPr>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di/2016-251/default.as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munerationtribunal.act.gov.au/determinations" TargetMode="External"/><Relationship Id="rId2" Type="http://schemas.openxmlformats.org/officeDocument/2006/relationships/numbering" Target="numbering.xml"/><Relationship Id="rId16" Type="http://schemas.openxmlformats.org/officeDocument/2006/relationships/hyperlink" Target="https://legislation.act.gov.au/View/a/1994-37/current/html/1994-37.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egislation.act.gov.au/View/a/1994-37/current/html/1994-37.html" TargetMode="External"/><Relationship Id="rId10" Type="http://schemas.openxmlformats.org/officeDocument/2006/relationships/footer" Target="footer1.xml"/><Relationship Id="rId19" Type="http://schemas.openxmlformats.org/officeDocument/2006/relationships/hyperlink" Target="http://www.jobs.act.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ct.gov.au/directorates-and-agencies/city-and-environment-directorat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801BD-3BEF-42F4-9EDD-BC059204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2026-07-10T01:23:00Z</dcterms:created>
  <dcterms:modified xsi:type="dcterms:W3CDTF">2026-07-10T01:23:00Z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2026-07-10T01:23:36Z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6b2ed75f-74fa-4be7-97d6-21fffc4bc860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