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249D4CCD" w:rsidR="00237B8C" w:rsidRPr="0069364C"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69364C">
        <w:rPr>
          <w:rFonts w:asciiTheme="minorHAnsi" w:hAnsiTheme="minorHAnsi" w:cstheme="minorHAnsi"/>
          <w:b/>
          <w:bCs/>
          <w:sz w:val="24"/>
          <w:szCs w:val="24"/>
        </w:rPr>
        <w:t xml:space="preserve"> </w:t>
      </w:r>
      <w:r w:rsidR="001F3F04">
        <w:rPr>
          <w:rFonts w:asciiTheme="minorHAnsi" w:hAnsiTheme="minorHAnsi" w:cstheme="minorHAnsi"/>
          <w:sz w:val="24"/>
          <w:szCs w:val="24"/>
        </w:rPr>
        <w:t>Director</w:t>
      </w:r>
      <w:r w:rsidR="0069364C">
        <w:rPr>
          <w:rFonts w:asciiTheme="minorHAnsi" w:hAnsiTheme="minorHAnsi" w:cstheme="minorHAnsi"/>
          <w:sz w:val="24"/>
          <w:szCs w:val="24"/>
        </w:rPr>
        <w:t>, Workplace Reso</w:t>
      </w:r>
      <w:r w:rsidR="007019E0">
        <w:rPr>
          <w:rFonts w:asciiTheme="minorHAnsi" w:hAnsiTheme="minorHAnsi" w:cstheme="minorHAnsi"/>
          <w:sz w:val="24"/>
          <w:szCs w:val="24"/>
        </w:rPr>
        <w:t>l</w:t>
      </w:r>
      <w:r w:rsidR="0069364C">
        <w:rPr>
          <w:rFonts w:asciiTheme="minorHAnsi" w:hAnsiTheme="minorHAnsi" w:cstheme="minorHAnsi"/>
          <w:sz w:val="24"/>
          <w:szCs w:val="24"/>
        </w:rPr>
        <w:t xml:space="preserve">ution and Support </w:t>
      </w:r>
    </w:p>
    <w:p w14:paraId="4305E8C8" w14:textId="150FC267" w:rsidR="00237B8C" w:rsidRPr="006936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69364C">
        <w:rPr>
          <w:rFonts w:asciiTheme="minorHAnsi" w:hAnsiTheme="minorHAnsi" w:cstheme="minorHAnsi"/>
          <w:b/>
          <w:bCs/>
          <w:sz w:val="24"/>
          <w:szCs w:val="24"/>
        </w:rPr>
        <w:t xml:space="preserve"> </w:t>
      </w:r>
      <w:r w:rsidR="0069364C">
        <w:rPr>
          <w:rFonts w:asciiTheme="minorHAnsi" w:hAnsiTheme="minorHAnsi" w:cstheme="minorHAnsi"/>
          <w:sz w:val="24"/>
          <w:szCs w:val="24"/>
        </w:rPr>
        <w:t xml:space="preserve">Senior Officer Grade </w:t>
      </w:r>
      <w:r w:rsidR="001F3F04">
        <w:rPr>
          <w:rFonts w:asciiTheme="minorHAnsi" w:hAnsiTheme="minorHAnsi" w:cstheme="minorHAnsi"/>
          <w:sz w:val="24"/>
          <w:szCs w:val="24"/>
        </w:rPr>
        <w:t>B</w:t>
      </w:r>
    </w:p>
    <w:p w14:paraId="6C70E4F9" w14:textId="6CD28871" w:rsidR="00237B8C" w:rsidRPr="006936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69364C">
        <w:rPr>
          <w:rFonts w:asciiTheme="minorHAnsi" w:hAnsiTheme="minorHAnsi" w:cstheme="minorHAnsi"/>
          <w:b/>
          <w:bCs/>
          <w:sz w:val="24"/>
          <w:szCs w:val="24"/>
        </w:rPr>
        <w:t xml:space="preserve"> </w:t>
      </w:r>
      <w:r w:rsidR="0069364C" w:rsidRPr="0069364C">
        <w:rPr>
          <w:rFonts w:asciiTheme="minorHAnsi" w:hAnsiTheme="minorHAnsi" w:cstheme="minorHAnsi"/>
          <w:sz w:val="24"/>
          <w:szCs w:val="24"/>
        </w:rPr>
        <w:t>P</w:t>
      </w:r>
      <w:r w:rsidR="004229C1">
        <w:rPr>
          <w:rFonts w:asciiTheme="minorHAnsi" w:hAnsiTheme="minorHAnsi" w:cstheme="minorHAnsi"/>
          <w:sz w:val="24"/>
          <w:szCs w:val="24"/>
        </w:rPr>
        <w:t>38505</w:t>
      </w:r>
    </w:p>
    <w:p w14:paraId="6A6794A4" w14:textId="096DAFC1"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69364C">
        <w:rPr>
          <w:rFonts w:asciiTheme="minorHAnsi" w:hAnsiTheme="minorHAnsi" w:cstheme="minorHAnsi"/>
          <w:b/>
          <w:bCs/>
          <w:sz w:val="24"/>
          <w:szCs w:val="24"/>
        </w:rPr>
        <w:t xml:space="preserve"> </w:t>
      </w:r>
      <w:r w:rsidR="007019E0">
        <w:rPr>
          <w:rFonts w:asciiTheme="minorHAnsi" w:hAnsiTheme="minorHAnsi" w:cstheme="minorHAnsi"/>
          <w:sz w:val="24"/>
          <w:szCs w:val="24"/>
        </w:rPr>
        <w:t>Corporate Services</w:t>
      </w:r>
      <w:r w:rsidR="007019E0" w:rsidRPr="0069364C">
        <w:rPr>
          <w:rFonts w:asciiTheme="minorHAnsi" w:hAnsiTheme="minorHAnsi" w:cstheme="minorHAnsi"/>
          <w:sz w:val="24"/>
          <w:szCs w:val="24"/>
        </w:rPr>
        <w:t xml:space="preserve"> </w:t>
      </w:r>
    </w:p>
    <w:p w14:paraId="2A397434" w14:textId="55128555" w:rsidR="00237B8C" w:rsidRPr="0069364C"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69364C">
        <w:rPr>
          <w:rFonts w:asciiTheme="minorHAnsi" w:hAnsiTheme="minorHAnsi" w:cstheme="minorHAnsi"/>
          <w:b/>
          <w:bCs/>
          <w:sz w:val="24"/>
          <w:szCs w:val="24"/>
        </w:rPr>
        <w:t xml:space="preserve"> </w:t>
      </w:r>
      <w:r w:rsidR="0069364C" w:rsidRPr="0069364C">
        <w:rPr>
          <w:rFonts w:asciiTheme="minorHAnsi" w:hAnsiTheme="minorHAnsi" w:cstheme="minorHAnsi"/>
          <w:sz w:val="24"/>
          <w:szCs w:val="24"/>
        </w:rPr>
        <w:t>People, Safety and Culture</w:t>
      </w:r>
    </w:p>
    <w:p w14:paraId="4CE27808" w14:textId="18FD22C6" w:rsidR="00237B8C" w:rsidRPr="0069364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69364C">
        <w:rPr>
          <w:rFonts w:asciiTheme="minorHAnsi" w:hAnsiTheme="minorHAnsi" w:cstheme="minorHAnsi"/>
          <w:sz w:val="24"/>
          <w:szCs w:val="24"/>
        </w:rPr>
        <w:t xml:space="preserve"> Dickson </w:t>
      </w:r>
    </w:p>
    <w:p w14:paraId="52300175" w14:textId="6F1B18CC"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69364C">
        <w:rPr>
          <w:rFonts w:asciiTheme="minorHAnsi" w:hAnsiTheme="minorHAnsi" w:cstheme="minorHAnsi"/>
          <w:b/>
          <w:bCs/>
          <w:sz w:val="24"/>
          <w:szCs w:val="24"/>
        </w:rPr>
        <w:t xml:space="preserve"> </w:t>
      </w:r>
      <w:r w:rsidR="001F3F04">
        <w:rPr>
          <w:rFonts w:asciiTheme="minorHAnsi" w:hAnsiTheme="minorHAnsi" w:cstheme="minorHAnsi"/>
          <w:sz w:val="24"/>
          <w:szCs w:val="24"/>
        </w:rPr>
        <w:t xml:space="preserve">Senior Director, Workplace Resolution and Support </w:t>
      </w:r>
      <w:r w:rsidR="0069364C">
        <w:rPr>
          <w:rFonts w:asciiTheme="minorHAnsi" w:hAnsiTheme="minorHAnsi" w:cstheme="minorHAnsi"/>
          <w:sz w:val="24"/>
          <w:szCs w:val="24"/>
        </w:rPr>
        <w:t xml:space="preserve"> </w:t>
      </w:r>
      <w:r w:rsidR="0069364C">
        <w:rPr>
          <w:rFonts w:asciiTheme="minorHAnsi" w:hAnsiTheme="minorHAnsi" w:cstheme="minorHAnsi"/>
          <w:b/>
          <w:bCs/>
          <w:sz w:val="24"/>
          <w:szCs w:val="24"/>
        </w:rPr>
        <w:t xml:space="preserve"> </w:t>
      </w:r>
    </w:p>
    <w:p w14:paraId="7F5ABBBD" w14:textId="01BADFA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69364C">
        <w:rPr>
          <w:rFonts w:asciiTheme="minorHAnsi" w:hAnsiTheme="minorHAnsi" w:cstheme="minorHAnsi"/>
          <w:b/>
          <w:szCs w:val="24"/>
        </w:rPr>
        <w:t xml:space="preserve"> </w:t>
      </w:r>
      <w:r w:rsidR="007019E0">
        <w:rPr>
          <w:rFonts w:asciiTheme="minorHAnsi" w:hAnsiTheme="minorHAnsi" w:cstheme="minorHAnsi"/>
          <w:bCs/>
          <w:szCs w:val="24"/>
        </w:rPr>
        <w:t>May</w:t>
      </w:r>
      <w:r w:rsidR="007019E0" w:rsidRPr="0069364C">
        <w:rPr>
          <w:rFonts w:asciiTheme="minorHAnsi" w:hAnsiTheme="minorHAnsi" w:cstheme="minorHAnsi"/>
          <w:bCs/>
          <w:szCs w:val="24"/>
        </w:rPr>
        <w:t xml:space="preserve"> </w:t>
      </w:r>
      <w:r w:rsidR="0069364C" w:rsidRPr="0069364C">
        <w:rPr>
          <w:rFonts w:asciiTheme="minorHAnsi" w:hAnsiTheme="minorHAnsi" w:cstheme="minorHAnsi"/>
          <w:bCs/>
          <w:szCs w:val="24"/>
        </w:rPr>
        <w:t>2026</w:t>
      </w:r>
    </w:p>
    <w:p w14:paraId="56956709" w14:textId="10EFF835"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69364C" w:rsidRPr="0069364C">
        <w:rPr>
          <w:rFonts w:asciiTheme="minorHAnsi" w:hAnsiTheme="minorHAnsi" w:cstheme="minorHAnsi"/>
          <w:iCs/>
          <w:sz w:val="24"/>
          <w:szCs w:val="24"/>
        </w:rPr>
        <w:t>N/A</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AF00B8">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AF00B8">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AF00B8">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AF00B8">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171A19B0" w14:textId="27D46897" w:rsidR="0069364C" w:rsidRDefault="0069364C" w:rsidP="0069364C">
      <w:pPr>
        <w:pStyle w:val="Heading1"/>
        <w:pBdr>
          <w:bottom w:val="single" w:sz="12" w:space="1" w:color="auto"/>
        </w:pBdr>
        <w:spacing w:before="360"/>
        <w:rPr>
          <w:sz w:val="28"/>
        </w:rPr>
      </w:pPr>
      <w:r>
        <w:rPr>
          <w:sz w:val="28"/>
        </w:rPr>
        <w:t>DIVISION OVERVIEW</w:t>
      </w:r>
    </w:p>
    <w:p w14:paraId="40479E32" w14:textId="77777777" w:rsidR="00F9712C" w:rsidRPr="00F9712C" w:rsidRDefault="00F9712C" w:rsidP="00F9712C">
      <w:pPr>
        <w:rPr>
          <w:lang w:eastAsia="ja-JP"/>
        </w:rPr>
      </w:pPr>
    </w:p>
    <w:p w14:paraId="59532FC3" w14:textId="3BB615C9" w:rsidR="0069364C" w:rsidRPr="0069364C" w:rsidRDefault="0069364C" w:rsidP="0069364C">
      <w:pPr>
        <w:pStyle w:val="Heading1"/>
        <w:pBdr>
          <w:bottom w:val="single" w:sz="12" w:space="1" w:color="auto"/>
        </w:pBdr>
        <w:spacing w:before="360"/>
        <w:rPr>
          <w:sz w:val="28"/>
        </w:rPr>
      </w:pPr>
      <w:r w:rsidRPr="0069364C">
        <w:rPr>
          <w:b w:val="0"/>
          <w:spacing w:val="0"/>
          <w:sz w:val="24"/>
          <w:szCs w:val="20"/>
          <w:lang w:eastAsia="en-AU"/>
        </w:rPr>
        <w:lastRenderedPageBreak/>
        <w:t>The Corporate Services Division is responsible for the Directorate’s financial and budgetary activities and for delivering key operational activities that support the Directorate’s core business, including facilities management, fleet management, records management compliance, ICT system support, human resources including safety and wellbeing and managing responses to public access requests including Freedom of Information.  </w:t>
      </w:r>
    </w:p>
    <w:p w14:paraId="675C2693" w14:textId="77777777" w:rsidR="0069364C" w:rsidRPr="0069364C" w:rsidRDefault="0069364C" w:rsidP="0069364C">
      <w:pPr>
        <w:pStyle w:val="Heading1"/>
        <w:pBdr>
          <w:bottom w:val="single" w:sz="12" w:space="1" w:color="auto"/>
        </w:pBdr>
        <w:spacing w:before="360"/>
        <w:rPr>
          <w:b w:val="0"/>
          <w:spacing w:val="0"/>
          <w:sz w:val="24"/>
          <w:szCs w:val="20"/>
          <w:lang w:eastAsia="en-AU"/>
        </w:rPr>
      </w:pPr>
      <w:r w:rsidRPr="0069364C">
        <w:rPr>
          <w:b w:val="0"/>
          <w:spacing w:val="0"/>
          <w:sz w:val="24"/>
          <w:szCs w:val="20"/>
          <w:lang w:eastAsia="en-AU"/>
        </w:rPr>
        <w:t>The Division is also responsible for risk management, emergency management, fraud control, corporate and business planning and managing customer feedback. It manages the formal relationship with ACT Shared Services in terms of finance, human resources and procurement services and delivers several programs in partnership with Shared Services.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1C160303" w14:textId="168CADD2" w:rsidR="0069364C" w:rsidRDefault="0069364C" w:rsidP="0069364C">
      <w:pPr>
        <w:rPr>
          <w:lang w:eastAsia="ja-JP"/>
        </w:rPr>
      </w:pPr>
      <w:r w:rsidRPr="0069364C">
        <w:rPr>
          <w:lang w:eastAsia="ja-JP"/>
        </w:rPr>
        <w:t>The People, Safety and Culture</w:t>
      </w:r>
      <w:r w:rsidR="00F9712C">
        <w:rPr>
          <w:lang w:eastAsia="ja-JP"/>
        </w:rPr>
        <w:t xml:space="preserve"> </w:t>
      </w:r>
      <w:r w:rsidR="001B56EA">
        <w:rPr>
          <w:lang w:eastAsia="ja-JP"/>
        </w:rPr>
        <w:t>(PSC)</w:t>
      </w:r>
      <w:r w:rsidRPr="0069364C">
        <w:rPr>
          <w:lang w:eastAsia="ja-JP"/>
        </w:rPr>
        <w:t> Branch supports the Directorate through a broad range of</w:t>
      </w:r>
      <w:r w:rsidR="001B56EA">
        <w:rPr>
          <w:lang w:eastAsia="ja-JP"/>
        </w:rPr>
        <w:t xml:space="preserve"> </w:t>
      </w:r>
      <w:r w:rsidRPr="0069364C">
        <w:rPr>
          <w:lang w:eastAsia="ja-JP"/>
        </w:rPr>
        <w:t>strategic human resource (HR) management functions that create, foster and grow a culture of high performance, safety and integrity within our Directorate. The Branch is responsible for strategic HR services relating to: </w:t>
      </w:r>
    </w:p>
    <w:p w14:paraId="345A63F2" w14:textId="77777777" w:rsidR="0069364C" w:rsidRPr="00A6670F" w:rsidRDefault="0069364C" w:rsidP="00AF00B8">
      <w:pPr>
        <w:pStyle w:val="BodyText"/>
        <w:numPr>
          <w:ilvl w:val="0"/>
          <w:numId w:val="10"/>
        </w:numPr>
        <w:rPr>
          <w:rFonts w:asciiTheme="minorHAnsi" w:hAnsiTheme="minorHAnsi" w:cstheme="minorHAnsi"/>
          <w:sz w:val="24"/>
          <w:szCs w:val="24"/>
          <w:lang w:eastAsia="ja-JP"/>
        </w:rPr>
      </w:pPr>
      <w:r w:rsidRPr="00A6670F">
        <w:rPr>
          <w:rFonts w:asciiTheme="minorHAnsi" w:hAnsiTheme="minorHAnsi" w:cstheme="minorHAnsi"/>
          <w:sz w:val="24"/>
          <w:szCs w:val="24"/>
          <w:lang w:eastAsia="ja-JP"/>
        </w:rPr>
        <w:t>Culture and employee engagement </w:t>
      </w:r>
    </w:p>
    <w:p w14:paraId="0AB9067C" w14:textId="77777777" w:rsidR="0069364C" w:rsidRPr="00A6670F" w:rsidRDefault="0069364C" w:rsidP="00AF00B8">
      <w:pPr>
        <w:pStyle w:val="BodyText"/>
        <w:numPr>
          <w:ilvl w:val="0"/>
          <w:numId w:val="11"/>
        </w:numPr>
        <w:rPr>
          <w:rFonts w:asciiTheme="minorHAnsi" w:hAnsiTheme="minorHAnsi" w:cstheme="minorHAnsi"/>
          <w:sz w:val="24"/>
          <w:szCs w:val="24"/>
          <w:lang w:eastAsia="ja-JP"/>
        </w:rPr>
      </w:pPr>
      <w:r w:rsidRPr="00A6670F">
        <w:rPr>
          <w:rFonts w:asciiTheme="minorHAnsi" w:hAnsiTheme="minorHAnsi" w:cstheme="minorHAnsi"/>
          <w:sz w:val="24"/>
          <w:szCs w:val="24"/>
          <w:lang w:eastAsia="ja-JP"/>
        </w:rPr>
        <w:t>Workforce planning and reporting </w:t>
      </w:r>
    </w:p>
    <w:p w14:paraId="773A6A6B" w14:textId="77777777" w:rsidR="0069364C" w:rsidRPr="00A6670F" w:rsidRDefault="0069364C" w:rsidP="00AF00B8">
      <w:pPr>
        <w:pStyle w:val="BodyText"/>
        <w:numPr>
          <w:ilvl w:val="0"/>
          <w:numId w:val="12"/>
        </w:numPr>
        <w:rPr>
          <w:rFonts w:asciiTheme="minorHAnsi" w:hAnsiTheme="minorHAnsi" w:cstheme="minorHAnsi"/>
          <w:sz w:val="24"/>
          <w:szCs w:val="24"/>
          <w:lang w:eastAsia="ja-JP"/>
        </w:rPr>
      </w:pPr>
      <w:r w:rsidRPr="00A6670F">
        <w:rPr>
          <w:rFonts w:asciiTheme="minorHAnsi" w:hAnsiTheme="minorHAnsi" w:cstheme="minorHAnsi"/>
          <w:sz w:val="24"/>
          <w:szCs w:val="24"/>
          <w:lang w:eastAsia="ja-JP"/>
        </w:rPr>
        <w:t>Employee and industrial relations </w:t>
      </w:r>
    </w:p>
    <w:p w14:paraId="1711893E" w14:textId="77777777" w:rsidR="0069364C" w:rsidRPr="00A6670F" w:rsidRDefault="0069364C" w:rsidP="00AF00B8">
      <w:pPr>
        <w:pStyle w:val="BodyText"/>
        <w:numPr>
          <w:ilvl w:val="0"/>
          <w:numId w:val="13"/>
        </w:numPr>
        <w:rPr>
          <w:rFonts w:asciiTheme="minorHAnsi" w:hAnsiTheme="minorHAnsi" w:cstheme="minorHAnsi"/>
          <w:sz w:val="24"/>
          <w:szCs w:val="24"/>
          <w:lang w:eastAsia="ja-JP"/>
        </w:rPr>
      </w:pPr>
      <w:r w:rsidRPr="00A6670F">
        <w:rPr>
          <w:rFonts w:asciiTheme="minorHAnsi" w:hAnsiTheme="minorHAnsi" w:cstheme="minorHAnsi"/>
          <w:sz w:val="24"/>
          <w:szCs w:val="24"/>
          <w:lang w:eastAsia="ja-JP"/>
        </w:rPr>
        <w:t>HR strategy, policy and guidance </w:t>
      </w:r>
    </w:p>
    <w:p w14:paraId="16CABCDC" w14:textId="77777777" w:rsidR="0069364C" w:rsidRPr="00A6670F" w:rsidRDefault="0069364C" w:rsidP="00AF00B8">
      <w:pPr>
        <w:pStyle w:val="BodyText"/>
        <w:numPr>
          <w:ilvl w:val="0"/>
          <w:numId w:val="14"/>
        </w:numPr>
        <w:rPr>
          <w:rFonts w:asciiTheme="minorHAnsi" w:hAnsiTheme="minorHAnsi" w:cstheme="minorHAnsi"/>
          <w:sz w:val="24"/>
          <w:szCs w:val="24"/>
          <w:lang w:eastAsia="ja-JP"/>
        </w:rPr>
      </w:pPr>
      <w:r w:rsidRPr="00A6670F">
        <w:rPr>
          <w:rFonts w:asciiTheme="minorHAnsi" w:hAnsiTheme="minorHAnsi" w:cstheme="minorHAnsi"/>
          <w:sz w:val="24"/>
          <w:szCs w:val="24"/>
          <w:lang w:eastAsia="ja-JP"/>
        </w:rPr>
        <w:t>Workplace health, safety and wellbeing </w:t>
      </w:r>
    </w:p>
    <w:p w14:paraId="7ABBF346" w14:textId="77777777" w:rsidR="0069364C" w:rsidRPr="007019E0" w:rsidRDefault="0069364C" w:rsidP="00AF00B8">
      <w:pPr>
        <w:pStyle w:val="BodyText"/>
        <w:numPr>
          <w:ilvl w:val="0"/>
          <w:numId w:val="15"/>
        </w:numPr>
        <w:rPr>
          <w:rFonts w:asciiTheme="minorHAnsi" w:hAnsiTheme="minorHAnsi" w:cstheme="minorHAnsi"/>
          <w:sz w:val="24"/>
          <w:szCs w:val="24"/>
          <w:lang w:eastAsia="ja-JP"/>
        </w:rPr>
      </w:pPr>
      <w:r w:rsidRPr="007019E0">
        <w:rPr>
          <w:rFonts w:asciiTheme="minorHAnsi" w:hAnsiTheme="minorHAnsi" w:cstheme="minorHAnsi"/>
          <w:sz w:val="24"/>
          <w:szCs w:val="24"/>
          <w:lang w:eastAsia="ja-JP"/>
        </w:rPr>
        <w:t>Injury management </w:t>
      </w:r>
    </w:p>
    <w:p w14:paraId="1770BCD8" w14:textId="77777777" w:rsidR="0069364C" w:rsidRPr="007019E0" w:rsidRDefault="0069364C" w:rsidP="00AF00B8">
      <w:pPr>
        <w:pStyle w:val="BodyText"/>
        <w:numPr>
          <w:ilvl w:val="0"/>
          <w:numId w:val="16"/>
        </w:numPr>
        <w:rPr>
          <w:rFonts w:asciiTheme="minorHAnsi" w:hAnsiTheme="minorHAnsi" w:cstheme="minorHAnsi"/>
          <w:sz w:val="24"/>
          <w:szCs w:val="24"/>
          <w:lang w:eastAsia="ja-JP"/>
        </w:rPr>
      </w:pPr>
      <w:r w:rsidRPr="007019E0">
        <w:rPr>
          <w:rFonts w:asciiTheme="minorHAnsi" w:hAnsiTheme="minorHAnsi" w:cstheme="minorHAnsi"/>
          <w:sz w:val="24"/>
          <w:szCs w:val="24"/>
          <w:lang w:eastAsia="ja-JP"/>
        </w:rPr>
        <w:t>Performance support </w:t>
      </w:r>
    </w:p>
    <w:p w14:paraId="5B095A0C" w14:textId="77777777" w:rsidR="0069364C" w:rsidRPr="007019E0" w:rsidRDefault="0069364C" w:rsidP="00AF00B8">
      <w:pPr>
        <w:pStyle w:val="BodyText"/>
        <w:numPr>
          <w:ilvl w:val="0"/>
          <w:numId w:val="17"/>
        </w:numPr>
        <w:rPr>
          <w:rFonts w:asciiTheme="minorHAnsi" w:hAnsiTheme="minorHAnsi" w:cstheme="minorHAnsi"/>
          <w:sz w:val="24"/>
          <w:szCs w:val="24"/>
          <w:lang w:eastAsia="ja-JP"/>
        </w:rPr>
      </w:pPr>
      <w:r w:rsidRPr="007019E0">
        <w:rPr>
          <w:rFonts w:asciiTheme="minorHAnsi" w:hAnsiTheme="minorHAnsi" w:cstheme="minorHAnsi"/>
          <w:sz w:val="24"/>
          <w:szCs w:val="24"/>
          <w:lang w:eastAsia="ja-JP"/>
        </w:rPr>
        <w:t>Learning and development </w:t>
      </w:r>
    </w:p>
    <w:p w14:paraId="10D06550" w14:textId="77777777" w:rsidR="0069364C" w:rsidRPr="007019E0" w:rsidRDefault="0069364C" w:rsidP="00AF00B8">
      <w:pPr>
        <w:pStyle w:val="BodyText"/>
        <w:numPr>
          <w:ilvl w:val="0"/>
          <w:numId w:val="18"/>
        </w:numPr>
        <w:rPr>
          <w:rFonts w:asciiTheme="minorHAnsi" w:hAnsiTheme="minorHAnsi" w:cstheme="minorHAnsi"/>
          <w:sz w:val="24"/>
          <w:szCs w:val="24"/>
          <w:lang w:eastAsia="ja-JP"/>
        </w:rPr>
      </w:pPr>
      <w:r w:rsidRPr="007019E0">
        <w:rPr>
          <w:rFonts w:asciiTheme="minorHAnsi" w:hAnsiTheme="minorHAnsi" w:cstheme="minorHAnsi"/>
          <w:sz w:val="24"/>
          <w:szCs w:val="24"/>
          <w:lang w:eastAsia="ja-JP"/>
        </w:rPr>
        <w:t>Diversity and inclusion </w:t>
      </w:r>
    </w:p>
    <w:p w14:paraId="7EC58AFD" w14:textId="73CCEA17" w:rsidR="003C5A16" w:rsidRPr="00A6670F" w:rsidRDefault="0069364C" w:rsidP="00AF00B8">
      <w:pPr>
        <w:pStyle w:val="BodyText"/>
        <w:numPr>
          <w:ilvl w:val="0"/>
          <w:numId w:val="19"/>
        </w:numPr>
        <w:rPr>
          <w:rFonts w:asciiTheme="minorHAnsi" w:hAnsiTheme="minorHAnsi" w:cstheme="minorHAnsi"/>
          <w:sz w:val="24"/>
          <w:szCs w:val="24"/>
          <w:lang w:eastAsia="ja-JP"/>
        </w:rPr>
      </w:pPr>
      <w:r w:rsidRPr="007019E0">
        <w:rPr>
          <w:rFonts w:asciiTheme="minorHAnsi" w:hAnsiTheme="minorHAnsi" w:cstheme="minorHAnsi"/>
          <w:sz w:val="24"/>
          <w:szCs w:val="24"/>
          <w:lang w:eastAsia="ja-JP"/>
        </w:rPr>
        <w:t>Recruitment and </w:t>
      </w:r>
      <w:r w:rsidR="007019E0">
        <w:rPr>
          <w:rFonts w:asciiTheme="minorHAnsi" w:hAnsiTheme="minorHAnsi" w:cstheme="minorHAnsi"/>
          <w:sz w:val="24"/>
          <w:szCs w:val="24"/>
          <w:lang w:eastAsia="ja-JP"/>
        </w:rPr>
        <w:t>t</w:t>
      </w:r>
      <w:r w:rsidRPr="007019E0">
        <w:rPr>
          <w:rFonts w:asciiTheme="minorHAnsi" w:hAnsiTheme="minorHAnsi" w:cstheme="minorHAnsi"/>
          <w:sz w:val="24"/>
          <w:szCs w:val="24"/>
          <w:lang w:eastAsia="ja-JP"/>
        </w:rPr>
        <w:t>alent support </w:t>
      </w:r>
      <w:r w:rsidRPr="00A6670F">
        <w:rPr>
          <w:rFonts w:asciiTheme="minorHAnsi" w:hAnsiTheme="minorHAnsi" w:cstheme="minorHAnsi"/>
          <w:sz w:val="24"/>
          <w:szCs w:val="24"/>
          <w:lang w:eastAsia="ja-JP"/>
        </w:rPr>
        <w:t> </w:t>
      </w:r>
      <w:r w:rsidR="003C5A16" w:rsidRPr="00A6670F">
        <w:rPr>
          <w:rFonts w:asciiTheme="minorHAnsi" w:hAnsiTheme="minorHAnsi" w:cstheme="minorHAnsi"/>
          <w:sz w:val="24"/>
          <w:szCs w:val="24"/>
        </w:rPr>
        <w:t> </w:t>
      </w:r>
    </w:p>
    <w:p w14:paraId="69044778" w14:textId="3F9C1B16" w:rsidR="008E4326" w:rsidRPr="008E4326" w:rsidRDefault="008E4326" w:rsidP="008E4326">
      <w:pPr>
        <w:pStyle w:val="Heading1"/>
        <w:pBdr>
          <w:bottom w:val="single" w:sz="12" w:space="1" w:color="auto"/>
        </w:pBdr>
        <w:spacing w:before="360"/>
        <w:rPr>
          <w:sz w:val="28"/>
        </w:rPr>
      </w:pPr>
      <w:r>
        <w:rPr>
          <w:sz w:val="28"/>
        </w:rPr>
        <w:t>POSITION PURPOSE</w:t>
      </w:r>
    </w:p>
    <w:p w14:paraId="2DF2B865" w14:textId="77777777" w:rsidR="00241007" w:rsidRPr="00241007" w:rsidRDefault="00241007" w:rsidP="00241007">
      <w:r w:rsidRPr="00241007">
        <w:t>Reporting to the Senior Director, Workplace Resolution and Support, the Director leads the delivery of workplace resolution, case management and wellbeing services across the Directorate. The role provides high-quality operational leadership and expert advice on complex workplace matters, including conflict resolution, injury management and early intervention strategies.</w:t>
      </w:r>
    </w:p>
    <w:p w14:paraId="3C2DE200" w14:textId="0FAEE2D8" w:rsidR="001B56EA" w:rsidRPr="00241007" w:rsidRDefault="00241007" w:rsidP="008E4326">
      <w:r w:rsidRPr="00241007">
        <w:t xml:space="preserve">The position supports the implementation of the Directorate’s workplace resolution frameworks (including the Red Framework) and oversees the effective delivery of the Employee Assistance </w:t>
      </w:r>
      <w:r w:rsidRPr="00241007">
        <w:lastRenderedPageBreak/>
        <w:t>Program (EAP) and related initiatives. It contributes to a safe, respectful and well-functioning workplace by supporting leaders to manage issues proactively and achieve practical, fair and timely outcomes.</w:t>
      </w:r>
    </w:p>
    <w:p w14:paraId="1E22AC75" w14:textId="77777777" w:rsidR="00630D4E"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5E0A255" w14:textId="31FFFDB3" w:rsidR="00DE51DC" w:rsidRPr="00DE51DC" w:rsidRDefault="00DE51DC" w:rsidP="00DE51DC">
      <w:pPr>
        <w:pStyle w:val="ListParagraph"/>
        <w:numPr>
          <w:ilvl w:val="0"/>
          <w:numId w:val="22"/>
        </w:numPr>
      </w:pPr>
      <w:r w:rsidRPr="00DE51DC">
        <w:t xml:space="preserve">Lead the delivery of workplace resolution services, including management of complex and sensitive cases, ensuring timely, consistent and practical outcomes. </w:t>
      </w:r>
    </w:p>
    <w:p w14:paraId="15C03BE5" w14:textId="6E9E9B84" w:rsidR="00DE51DC" w:rsidRPr="00DE51DC" w:rsidRDefault="00DE51DC" w:rsidP="00DE51DC">
      <w:pPr>
        <w:pStyle w:val="ListParagraph"/>
        <w:numPr>
          <w:ilvl w:val="0"/>
          <w:numId w:val="22"/>
        </w:numPr>
      </w:pPr>
      <w:r w:rsidRPr="00DE51DC">
        <w:t xml:space="preserve">Implement and maintain workplace resolution frameworks and processes (including the Red Framework) to support early intervention and procedural fairness. </w:t>
      </w:r>
    </w:p>
    <w:p w14:paraId="0AC68FB2" w14:textId="57FAD7B5" w:rsidR="00DE51DC" w:rsidRPr="00DE51DC" w:rsidRDefault="00DE51DC" w:rsidP="00DE51DC">
      <w:pPr>
        <w:pStyle w:val="ListParagraph"/>
        <w:numPr>
          <w:ilvl w:val="0"/>
          <w:numId w:val="22"/>
        </w:numPr>
      </w:pPr>
      <w:r w:rsidRPr="00DE51DC">
        <w:t>Oversee injury management and return</w:t>
      </w:r>
      <w:r w:rsidR="00F9712C">
        <w:t xml:space="preserve"> </w:t>
      </w:r>
      <w:r w:rsidRPr="00DE51DC">
        <w:t>to</w:t>
      </w:r>
      <w:r w:rsidR="00F9712C">
        <w:t xml:space="preserve"> </w:t>
      </w:r>
      <w:r w:rsidRPr="00DE51DC">
        <w:t xml:space="preserve">work processes, ensuring compliance with relevant legislation, policy and best practice. </w:t>
      </w:r>
    </w:p>
    <w:p w14:paraId="7E83486C" w14:textId="74CE9434" w:rsidR="00DE51DC" w:rsidRPr="00DE51DC" w:rsidRDefault="00DE51DC" w:rsidP="00DE51DC">
      <w:pPr>
        <w:pStyle w:val="ListParagraph"/>
        <w:numPr>
          <w:ilvl w:val="0"/>
          <w:numId w:val="22"/>
        </w:numPr>
      </w:pPr>
      <w:r w:rsidRPr="00DE51DC">
        <w:t xml:space="preserve">Provide high-quality advice and support to managers on workplace issues, including conflict, conduct and team dynamics. </w:t>
      </w:r>
    </w:p>
    <w:p w14:paraId="0D7E503F" w14:textId="516E73C7" w:rsidR="00DE51DC" w:rsidRPr="00DE51DC" w:rsidRDefault="00DE51DC" w:rsidP="00DE51DC">
      <w:pPr>
        <w:pStyle w:val="ListParagraph"/>
        <w:numPr>
          <w:ilvl w:val="0"/>
          <w:numId w:val="22"/>
        </w:numPr>
      </w:pPr>
      <w:r w:rsidRPr="00DE51DC">
        <w:t>Support organisational change activities by managing people</w:t>
      </w:r>
      <w:r w:rsidR="00F9712C">
        <w:t xml:space="preserve"> </w:t>
      </w:r>
      <w:r w:rsidRPr="00DE51DC">
        <w:t xml:space="preserve">related risks and providing practical guidance during transitions. </w:t>
      </w:r>
    </w:p>
    <w:p w14:paraId="1B91FD39" w14:textId="77777777" w:rsidR="00DE51DC" w:rsidRDefault="00DE51DC" w:rsidP="00DE51DC">
      <w:pPr>
        <w:pStyle w:val="ListParagraph"/>
        <w:numPr>
          <w:ilvl w:val="0"/>
          <w:numId w:val="22"/>
        </w:numPr>
      </w:pPr>
      <w:r w:rsidRPr="00DE51DC">
        <w:t>Supervise and develop team members, fostering capability, consistency and a customer</w:t>
      </w:r>
      <w:r>
        <w:t xml:space="preserve"> </w:t>
      </w:r>
      <w:r w:rsidRPr="00DE51DC">
        <w:t>focused service approach</w:t>
      </w:r>
    </w:p>
    <w:p w14:paraId="397203EC" w14:textId="6D41BB80" w:rsidR="00DE51DC" w:rsidRPr="00DE51DC" w:rsidRDefault="00DE51DC" w:rsidP="00DE51DC">
      <w:pPr>
        <w:pStyle w:val="ListParagraph"/>
        <w:numPr>
          <w:ilvl w:val="0"/>
          <w:numId w:val="22"/>
        </w:numPr>
      </w:pPr>
      <w:r w:rsidRPr="005A754D">
        <w:t xml:space="preserve">This </w:t>
      </w:r>
      <w:r w:rsidRPr="008E4326">
        <w:t>position</w:t>
      </w:r>
      <w:r>
        <w:t xml:space="preserve"> requires the</w:t>
      </w:r>
      <w:r w:rsidRPr="008E4326">
        <w:t xml:space="preserve"> direct</w:t>
      </w:r>
      <w:r w:rsidR="00A6670F">
        <w:t xml:space="preserve"> and shared</w:t>
      </w:r>
      <w:r w:rsidRPr="008E4326">
        <w:t xml:space="preserve"> supervision of</w:t>
      </w:r>
      <w:r w:rsidR="00A6670F">
        <w:t xml:space="preserve"> a small team</w:t>
      </w:r>
      <w:r w:rsidR="004229C1">
        <w:t>.</w:t>
      </w:r>
    </w:p>
    <w:p w14:paraId="049F0022" w14:textId="17170F97" w:rsidR="00630D4E" w:rsidRPr="002A43D2" w:rsidRDefault="00630D4E" w:rsidP="00DE51DC">
      <w:pPr>
        <w:pStyle w:val="Heading1"/>
        <w:pBdr>
          <w:bottom w:val="single" w:sz="12" w:space="1" w:color="auto"/>
        </w:pBdr>
        <w:spacing w:before="360"/>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553457B8" w14:textId="174C4A6E" w:rsidR="00DE51DC" w:rsidRPr="00DE51DC" w:rsidRDefault="00DE51DC" w:rsidP="00E5673D">
      <w:pPr>
        <w:numPr>
          <w:ilvl w:val="0"/>
          <w:numId w:val="8"/>
        </w:numPr>
        <w:spacing w:after="0" w:line="259" w:lineRule="auto"/>
        <w:rPr>
          <w:rFonts w:asciiTheme="minorHAnsi" w:hAnsiTheme="minorHAnsi" w:cstheme="minorHAnsi"/>
        </w:rPr>
      </w:pPr>
      <w:r w:rsidRPr="00DE51DC">
        <w:rPr>
          <w:rFonts w:asciiTheme="minorHAnsi" w:hAnsiTheme="minorHAnsi" w:cstheme="minorHAnsi"/>
        </w:rPr>
        <w:t xml:space="preserve">Demonstrated ability to lead a team delivering workplace </w:t>
      </w:r>
      <w:r>
        <w:rPr>
          <w:rFonts w:asciiTheme="minorHAnsi" w:hAnsiTheme="minorHAnsi" w:cstheme="minorHAnsi"/>
        </w:rPr>
        <w:t>resolution and injury management services</w:t>
      </w:r>
      <w:r w:rsidRPr="00DE51DC">
        <w:rPr>
          <w:rFonts w:asciiTheme="minorHAnsi" w:hAnsiTheme="minorHAnsi" w:cstheme="minorHAnsi"/>
        </w:rPr>
        <w:t>, ensuring high</w:t>
      </w:r>
      <w:r w:rsidR="00F9712C">
        <w:rPr>
          <w:rFonts w:asciiTheme="minorHAnsi" w:hAnsiTheme="minorHAnsi" w:cstheme="minorHAnsi"/>
        </w:rPr>
        <w:t xml:space="preserve"> </w:t>
      </w:r>
      <w:r w:rsidRPr="00DE51DC">
        <w:rPr>
          <w:rFonts w:asciiTheme="minorHAnsi" w:hAnsiTheme="minorHAnsi" w:cstheme="minorHAnsi"/>
        </w:rPr>
        <w:t>quality, consistent and timely outcomes in a complex environment.</w:t>
      </w:r>
    </w:p>
    <w:p w14:paraId="54160536" w14:textId="7C15916B" w:rsidR="00DE51DC" w:rsidRPr="00DE51DC" w:rsidRDefault="00DE51DC" w:rsidP="00DE51DC">
      <w:pPr>
        <w:numPr>
          <w:ilvl w:val="0"/>
          <w:numId w:val="8"/>
        </w:numPr>
        <w:suppressAutoHyphens w:val="0"/>
        <w:spacing w:after="0" w:line="259" w:lineRule="auto"/>
        <w:rPr>
          <w:rFonts w:asciiTheme="minorHAnsi" w:hAnsiTheme="minorHAnsi" w:cstheme="minorHAnsi"/>
        </w:rPr>
      </w:pPr>
      <w:r w:rsidRPr="00DE51DC">
        <w:rPr>
          <w:rFonts w:asciiTheme="minorHAnsi" w:hAnsiTheme="minorHAnsi" w:cstheme="minorHAnsi"/>
        </w:rPr>
        <w:t>Experience managing complex workplace matters, including conflict resolution and sensitive cases, with a sound understanding of relevant legislation, policies and procedures.</w:t>
      </w:r>
    </w:p>
    <w:p w14:paraId="6BD2BA83" w14:textId="66DE4519" w:rsidR="00DE51DC" w:rsidRPr="00DE51DC" w:rsidRDefault="00DE51DC" w:rsidP="00DE51DC">
      <w:pPr>
        <w:numPr>
          <w:ilvl w:val="0"/>
          <w:numId w:val="8"/>
        </w:numPr>
        <w:suppressAutoHyphens w:val="0"/>
        <w:spacing w:after="0" w:line="259" w:lineRule="auto"/>
        <w:rPr>
          <w:rFonts w:asciiTheme="minorHAnsi" w:hAnsiTheme="minorHAnsi" w:cstheme="minorHAnsi"/>
        </w:rPr>
      </w:pPr>
      <w:r w:rsidRPr="00DE51DC">
        <w:rPr>
          <w:rFonts w:asciiTheme="minorHAnsi" w:hAnsiTheme="minorHAnsi" w:cstheme="minorHAnsi"/>
        </w:rPr>
        <w:t>Knowledge of injury management, return-to-work processes and workplace wellbeing frameworks, with the ability to apply these in practice.</w:t>
      </w:r>
    </w:p>
    <w:p w14:paraId="6540D67E" w14:textId="77777777" w:rsidR="00DE51DC" w:rsidRDefault="00DE51DC" w:rsidP="00DE51DC">
      <w:pPr>
        <w:numPr>
          <w:ilvl w:val="0"/>
          <w:numId w:val="8"/>
        </w:numPr>
        <w:suppressAutoHyphens w:val="0"/>
        <w:spacing w:after="0" w:line="259" w:lineRule="auto"/>
        <w:rPr>
          <w:rFonts w:asciiTheme="minorHAnsi" w:hAnsiTheme="minorHAnsi" w:cstheme="minorHAnsi"/>
        </w:rPr>
      </w:pPr>
      <w:r w:rsidRPr="00DE51DC">
        <w:rPr>
          <w:rFonts w:asciiTheme="minorHAnsi" w:hAnsiTheme="minorHAnsi" w:cstheme="minorHAnsi"/>
        </w:rPr>
        <w:t>Ability to support organisational change and build capability in managers to effectively manage workplace issues.</w:t>
      </w:r>
    </w:p>
    <w:p w14:paraId="4D02C354" w14:textId="7AA7401A" w:rsidR="00DE51DC" w:rsidRPr="00DE51DC" w:rsidRDefault="00DE51DC" w:rsidP="00DE51DC">
      <w:pPr>
        <w:numPr>
          <w:ilvl w:val="0"/>
          <w:numId w:val="8"/>
        </w:numPr>
        <w:suppressAutoHyphens w:val="0"/>
        <w:spacing w:after="0" w:line="259" w:lineRule="auto"/>
        <w:rPr>
          <w:rFonts w:asciiTheme="minorHAnsi" w:hAnsiTheme="minorHAnsi" w:cstheme="minorHAnsi"/>
        </w:rPr>
      </w:pPr>
      <w:r>
        <w:rPr>
          <w:rFonts w:asciiTheme="minorHAnsi" w:hAnsiTheme="minorHAnsi" w:cstheme="minorHAnsi"/>
        </w:rPr>
        <w:t xml:space="preserve">Highly developed </w:t>
      </w:r>
      <w:r w:rsidRPr="00DE51DC">
        <w:rPr>
          <w:rFonts w:asciiTheme="minorHAnsi" w:hAnsiTheme="minorHAnsi" w:cstheme="minorHAnsi"/>
        </w:rPr>
        <w:t>communication and interpersonal skills, with the ability to work constructively with managers, employees and other stakeholders to resolve issues.</w:t>
      </w:r>
    </w:p>
    <w:p w14:paraId="1DA81A1D" w14:textId="3A922699" w:rsidR="00716314" w:rsidRPr="00DE51DC" w:rsidRDefault="00DE51DC" w:rsidP="00DE51DC">
      <w:pPr>
        <w:numPr>
          <w:ilvl w:val="0"/>
          <w:numId w:val="8"/>
        </w:numPr>
        <w:suppressAutoHyphens w:val="0"/>
        <w:spacing w:after="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7C9FF16E" w14:textId="2CA48A8C" w:rsidR="0098706C" w:rsidRPr="0098706C" w:rsidRDefault="0098706C" w:rsidP="0098706C">
      <w:pPr>
        <w:pStyle w:val="ListParagraph"/>
        <w:numPr>
          <w:ilvl w:val="0"/>
          <w:numId w:val="9"/>
        </w:numPr>
        <w:suppressAutoHyphens w:val="0"/>
        <w:spacing w:after="0" w:line="300" w:lineRule="atLeast"/>
        <w:rPr>
          <w:rFonts w:asciiTheme="minorHAnsi" w:hAnsiTheme="minorHAnsi" w:cstheme="minorHAnsi"/>
        </w:rPr>
      </w:pPr>
      <w:r w:rsidRPr="0098706C">
        <w:rPr>
          <w:rFonts w:asciiTheme="minorHAnsi" w:hAnsiTheme="minorHAnsi" w:cstheme="minorHAnsi"/>
        </w:rPr>
        <w:t xml:space="preserve">Relevant tertiary qualifications in human resources or a related discipline, or </w:t>
      </w:r>
      <w:r w:rsidR="004229C1">
        <w:rPr>
          <w:rFonts w:asciiTheme="minorHAnsi" w:hAnsiTheme="minorHAnsi" w:cstheme="minorHAnsi"/>
        </w:rPr>
        <w:t xml:space="preserve">extensive </w:t>
      </w:r>
      <w:r w:rsidRPr="0098706C">
        <w:rPr>
          <w:rFonts w:asciiTheme="minorHAnsi" w:hAnsiTheme="minorHAnsi" w:cstheme="minorHAnsi"/>
        </w:rPr>
        <w:t>experience in a senior HR role</w:t>
      </w:r>
      <w:r w:rsidR="004229C1">
        <w:rPr>
          <w:rFonts w:asciiTheme="minorHAnsi" w:hAnsiTheme="minorHAnsi" w:cstheme="minorHAnsi"/>
        </w:rPr>
        <w:t xml:space="preserve"> is desirable</w:t>
      </w:r>
      <w:r w:rsidRPr="0098706C">
        <w:rPr>
          <w:rFonts w:asciiTheme="minorHAnsi" w:hAnsiTheme="minorHAnsi" w:cstheme="minorHAnsi"/>
        </w:rPr>
        <w:t xml:space="preserve">. </w:t>
      </w:r>
    </w:p>
    <w:p w14:paraId="1EFE0F4F" w14:textId="0A911FA6" w:rsidR="0098706C" w:rsidRPr="00E5673D" w:rsidRDefault="0098706C" w:rsidP="0098706C">
      <w:pPr>
        <w:pStyle w:val="ListParagraph"/>
        <w:numPr>
          <w:ilvl w:val="0"/>
          <w:numId w:val="9"/>
        </w:numPr>
        <w:suppressAutoHyphens w:val="0"/>
        <w:spacing w:after="0" w:line="300" w:lineRule="atLeast"/>
        <w:rPr>
          <w:rFonts w:asciiTheme="minorHAnsi" w:hAnsiTheme="minorHAnsi" w:cstheme="minorHAnsi"/>
        </w:rPr>
      </w:pPr>
      <w:r w:rsidRPr="00E5673D">
        <w:rPr>
          <w:rFonts w:asciiTheme="minorHAnsi" w:hAnsiTheme="minorHAnsi" w:cstheme="minorHAnsi"/>
        </w:rPr>
        <w:lastRenderedPageBreak/>
        <w:t>Knowledge of, or experience working within, workplace relations, WHS and</w:t>
      </w:r>
      <w:r w:rsidR="004229C1" w:rsidRPr="00E5673D">
        <w:rPr>
          <w:rFonts w:asciiTheme="minorHAnsi" w:hAnsiTheme="minorHAnsi" w:cstheme="minorHAnsi"/>
        </w:rPr>
        <w:t xml:space="preserve">/or </w:t>
      </w:r>
      <w:r w:rsidRPr="00E5673D">
        <w:rPr>
          <w:rFonts w:asciiTheme="minorHAnsi" w:hAnsiTheme="minorHAnsi" w:cstheme="minorHAnsi"/>
        </w:rPr>
        <w:t xml:space="preserve">injury management frameworks is desirable. </w:t>
      </w:r>
    </w:p>
    <w:p w14:paraId="0DF40BF0" w14:textId="35F45DFA" w:rsidR="0098706C" w:rsidRPr="00E5673D" w:rsidRDefault="0098706C" w:rsidP="0098706C">
      <w:pPr>
        <w:pStyle w:val="ListParagraph"/>
        <w:numPr>
          <w:ilvl w:val="0"/>
          <w:numId w:val="9"/>
        </w:numPr>
        <w:suppressAutoHyphens w:val="0"/>
        <w:spacing w:after="0" w:line="300" w:lineRule="atLeast"/>
        <w:rPr>
          <w:rFonts w:asciiTheme="minorHAnsi" w:hAnsiTheme="minorHAnsi" w:cstheme="minorHAnsi"/>
        </w:rPr>
      </w:pPr>
      <w:r w:rsidRPr="00E5673D">
        <w:rPr>
          <w:rFonts w:asciiTheme="minorHAnsi" w:hAnsiTheme="minorHAnsi" w:cstheme="minorHAnsi"/>
        </w:rPr>
        <w:t>A background in the public sector or similar complex environment would be advantageous.</w:t>
      </w:r>
    </w:p>
    <w:p w14:paraId="348E7179" w14:textId="77777777" w:rsidR="0098706C" w:rsidRPr="00E5673D" w:rsidRDefault="00027998" w:rsidP="0098706C">
      <w:pPr>
        <w:pStyle w:val="ListParagraph"/>
        <w:numPr>
          <w:ilvl w:val="0"/>
          <w:numId w:val="9"/>
        </w:numPr>
        <w:spacing w:after="120"/>
        <w:ind w:left="714" w:hanging="357"/>
        <w:contextualSpacing w:val="0"/>
        <w:rPr>
          <w:rFonts w:asciiTheme="minorHAnsi" w:hAnsiTheme="minorHAnsi" w:cstheme="minorHAnsi"/>
        </w:rPr>
      </w:pPr>
      <w:r w:rsidRPr="00E5673D">
        <w:rPr>
          <w:rFonts w:asciiTheme="minorHAnsi" w:hAnsiTheme="minorHAnsi" w:cstheme="minorHAnsi"/>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5AC3686B" w14:textId="7D6C18E8" w:rsidR="00027998" w:rsidRPr="00E5673D" w:rsidRDefault="00946FEA" w:rsidP="0098706C">
      <w:pPr>
        <w:pStyle w:val="ListParagraph"/>
        <w:numPr>
          <w:ilvl w:val="0"/>
          <w:numId w:val="9"/>
        </w:numPr>
        <w:spacing w:after="120"/>
        <w:ind w:left="714" w:hanging="357"/>
        <w:contextualSpacing w:val="0"/>
        <w:rPr>
          <w:rFonts w:asciiTheme="minorHAnsi" w:hAnsiTheme="minorHAnsi" w:cstheme="minorHAnsi"/>
        </w:rPr>
      </w:pPr>
      <w:r w:rsidRPr="00E5673D">
        <w:rPr>
          <w:rFonts w:asciiTheme="minorHAnsi" w:hAnsiTheme="minorHAnsi" w:cstheme="minorHAnsi"/>
        </w:rPr>
        <w:t xml:space="preserve">This position </w:t>
      </w:r>
      <w:r w:rsidRPr="00E5673D">
        <w:rPr>
          <w:rFonts w:asciiTheme="minorHAnsi" w:hAnsiTheme="minorHAnsi" w:cstheme="minorHAnsi"/>
          <w:b/>
          <w:bCs/>
        </w:rPr>
        <w:t>does not</w:t>
      </w:r>
      <w:r w:rsidR="0098706C" w:rsidRPr="00E5673D">
        <w:rPr>
          <w:rFonts w:asciiTheme="minorHAnsi" w:hAnsiTheme="minorHAnsi" w:cstheme="minorHAnsi"/>
        </w:rPr>
        <w:t xml:space="preserve"> r</w:t>
      </w:r>
      <w:r w:rsidRPr="00E5673D">
        <w:rPr>
          <w:rFonts w:asciiTheme="minorHAnsi" w:hAnsiTheme="minorHAnsi" w:cstheme="minorHAnsi"/>
        </w:rPr>
        <w:t>equire a Working with Vulnerable People Check.</w:t>
      </w:r>
    </w:p>
    <w:p w14:paraId="36B84378" w14:textId="45B8CF6E" w:rsidR="00EB5781" w:rsidRPr="00E5673D" w:rsidRDefault="00EB5781" w:rsidP="00562E28">
      <w:pPr>
        <w:pStyle w:val="ListParagraph"/>
        <w:numPr>
          <w:ilvl w:val="0"/>
          <w:numId w:val="9"/>
        </w:numPr>
        <w:spacing w:after="120"/>
        <w:ind w:left="714"/>
        <w:contextualSpacing w:val="0"/>
        <w:rPr>
          <w:rFonts w:asciiTheme="minorHAnsi" w:hAnsiTheme="minorHAnsi" w:cstheme="minorHAnsi"/>
        </w:rPr>
      </w:pPr>
      <w:r w:rsidRPr="00E5673D">
        <w:rPr>
          <w:rFonts w:asciiTheme="minorHAnsi" w:hAnsiTheme="minorHAnsi" w:cstheme="minorHAnsi"/>
        </w:rPr>
        <w:t xml:space="preserve">This position </w:t>
      </w:r>
      <w:r w:rsidRPr="00E5673D">
        <w:rPr>
          <w:rFonts w:asciiTheme="minorHAnsi" w:hAnsiTheme="minorHAnsi" w:cstheme="minorHAnsi"/>
          <w:b/>
          <w:bCs/>
        </w:rPr>
        <w:t>does no</w:t>
      </w:r>
      <w:r w:rsidR="0098706C" w:rsidRPr="00E5673D">
        <w:rPr>
          <w:rFonts w:asciiTheme="minorHAnsi" w:hAnsiTheme="minorHAnsi" w:cstheme="minorHAnsi"/>
          <w:b/>
          <w:bCs/>
        </w:rPr>
        <w:t>t</w:t>
      </w:r>
      <w:r w:rsidRPr="00E5673D">
        <w:rPr>
          <w:rFonts w:asciiTheme="minorHAnsi" w:hAnsiTheme="minorHAnsi" w:cstheme="minorHAnsi"/>
        </w:rPr>
        <w:t xml:space="preserve"> require a Security Clearance </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552AF985"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086EBF" w:rsidRPr="00086EBF">
        <w:rPr>
          <w:rFonts w:asciiTheme="minorHAnsi" w:hAnsiTheme="minorHAnsi" w:cstheme="minorHAnsi"/>
          <w:szCs w:val="24"/>
        </w:rPr>
        <w:t xml:space="preserve"> Director, Workplace Reso</w:t>
      </w:r>
      <w:r w:rsidR="00C14416">
        <w:rPr>
          <w:rFonts w:asciiTheme="minorHAnsi" w:hAnsiTheme="minorHAnsi" w:cstheme="minorHAnsi"/>
          <w:szCs w:val="24"/>
        </w:rPr>
        <w:t>l</w:t>
      </w:r>
      <w:r w:rsidR="00086EBF" w:rsidRPr="00086EBF">
        <w:rPr>
          <w:rFonts w:asciiTheme="minorHAnsi" w:hAnsiTheme="minorHAnsi" w:cstheme="minorHAnsi"/>
          <w:szCs w:val="24"/>
        </w:rPr>
        <w:t>ution and Support</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4229C1">
        <w:rPr>
          <w:rFonts w:asciiTheme="minorHAnsi" w:hAnsiTheme="minorHAnsi" w:cstheme="minorHAnsi"/>
          <w:szCs w:val="24"/>
        </w:rPr>
        <w:t>38505</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61F67BE0" w:rsidR="005B38C8" w:rsidRPr="00A4740F" w:rsidRDefault="00086EBF"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0AE0F6D9"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5D9069CA"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4CB0FFD3"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39B132AB"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97F6DCD"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59DCD33D"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39B5B95C"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69AF0332"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9038744" w:rsidR="0057462A"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977189D" w:rsidR="0057462A"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CF10850"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4BF1101"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9C00320"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688ECB1" w:rsidR="005B38C8" w:rsidRPr="00A4740F" w:rsidRDefault="00086E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4E61AEC4"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96CFA60"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0CF2785E"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230FC467"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A76CA9F"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6BCB8F4"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12D86EB"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4E5627F7"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185B1C44"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109B405"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58C7F94A"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22C1D44F"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27D99E43"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2B1F0226"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6C7F5D55"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5B553C86"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3FD45B4D"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5A11F957" w:rsidR="005B38C8" w:rsidRPr="00A4740F" w:rsidRDefault="00EA08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0F511D47" w:rsidR="005B38C8" w:rsidRPr="00A4740F" w:rsidRDefault="00A6670F"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EA0861">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785D68AA" w:rsidR="005B38C8" w:rsidRPr="00493773" w:rsidRDefault="00EA0861"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3980374F" w:rsidR="005B38C8" w:rsidRPr="00493773" w:rsidRDefault="00EA0861"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74C77B92" w:rsidR="005B38C8" w:rsidRPr="00493773" w:rsidRDefault="00EA0861"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5B943A83" w:rsidR="005B38C8" w:rsidRPr="00493773" w:rsidRDefault="00EA0861"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68677834" w:rsidR="005B38C8" w:rsidRPr="00493773" w:rsidRDefault="00EA086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04D538D4" w:rsidR="005B38C8" w:rsidRPr="00493773" w:rsidRDefault="00EA0861"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31D87F41" w:rsidR="008A1B61" w:rsidRPr="005F1B26" w:rsidRDefault="00EA0861"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10937210" w:rsidR="005B38C8" w:rsidRPr="00493773" w:rsidRDefault="00EA0861"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1AF36E27" w:rsidR="005B38C8" w:rsidRPr="00493773" w:rsidRDefault="00EA0861"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17C7" w14:textId="77777777" w:rsidR="00031925" w:rsidRDefault="00031925" w:rsidP="00456927">
      <w:pPr>
        <w:spacing w:after="0"/>
      </w:pPr>
      <w:r>
        <w:separator/>
      </w:r>
    </w:p>
  </w:endnote>
  <w:endnote w:type="continuationSeparator" w:id="0">
    <w:p w14:paraId="0F1B38DA" w14:textId="77777777" w:rsidR="00031925" w:rsidRDefault="0003192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383D" w14:textId="77777777" w:rsidR="00031925" w:rsidRDefault="00031925" w:rsidP="00456927">
      <w:pPr>
        <w:spacing w:after="0"/>
      </w:pPr>
      <w:r>
        <w:separator/>
      </w:r>
    </w:p>
  </w:footnote>
  <w:footnote w:type="continuationSeparator" w:id="0">
    <w:p w14:paraId="6BB630D5" w14:textId="77777777" w:rsidR="00031925" w:rsidRDefault="0003192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B7C55"/>
    <w:multiLevelType w:val="multilevel"/>
    <w:tmpl w:val="2B26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10BC1"/>
    <w:multiLevelType w:val="multilevel"/>
    <w:tmpl w:val="436A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D2FDA"/>
    <w:multiLevelType w:val="hybridMultilevel"/>
    <w:tmpl w:val="D2AA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A61729"/>
    <w:multiLevelType w:val="multilevel"/>
    <w:tmpl w:val="554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81F4A"/>
    <w:multiLevelType w:val="multilevel"/>
    <w:tmpl w:val="1E9A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151BC"/>
    <w:multiLevelType w:val="hybridMultilevel"/>
    <w:tmpl w:val="BCF80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E92491"/>
    <w:multiLevelType w:val="multilevel"/>
    <w:tmpl w:val="2D2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E32C6E"/>
    <w:multiLevelType w:val="multilevel"/>
    <w:tmpl w:val="605E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3" w15:restartNumberingAfterBreak="0">
    <w:nsid w:val="44FE790F"/>
    <w:multiLevelType w:val="multilevel"/>
    <w:tmpl w:val="A4E430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45DAF"/>
    <w:multiLevelType w:val="multilevel"/>
    <w:tmpl w:val="AC7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534505"/>
    <w:multiLevelType w:val="multilevel"/>
    <w:tmpl w:val="02F2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E1D76"/>
    <w:multiLevelType w:val="multilevel"/>
    <w:tmpl w:val="F66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F7622"/>
    <w:multiLevelType w:val="multilevel"/>
    <w:tmpl w:val="740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1"/>
  </w:num>
  <w:num w:numId="2" w16cid:durableId="1536960860">
    <w:abstractNumId w:val="12"/>
  </w:num>
  <w:num w:numId="3" w16cid:durableId="38435536">
    <w:abstractNumId w:val="1"/>
  </w:num>
  <w:num w:numId="4" w16cid:durableId="119034905">
    <w:abstractNumId w:val="0"/>
  </w:num>
  <w:num w:numId="5" w16cid:durableId="1172254070">
    <w:abstractNumId w:val="21"/>
  </w:num>
  <w:num w:numId="6" w16cid:durableId="423646233">
    <w:abstractNumId w:val="7"/>
  </w:num>
  <w:num w:numId="7" w16cid:durableId="1255476049">
    <w:abstractNumId w:val="19"/>
  </w:num>
  <w:num w:numId="8" w16cid:durableId="323632453">
    <w:abstractNumId w:val="16"/>
  </w:num>
  <w:num w:numId="9" w16cid:durableId="1728526378">
    <w:abstractNumId w:val="18"/>
  </w:num>
  <w:num w:numId="10" w16cid:durableId="1575361268">
    <w:abstractNumId w:val="20"/>
  </w:num>
  <w:num w:numId="11" w16cid:durableId="1930579954">
    <w:abstractNumId w:val="14"/>
  </w:num>
  <w:num w:numId="12" w16cid:durableId="393745780">
    <w:abstractNumId w:val="9"/>
  </w:num>
  <w:num w:numId="13" w16cid:durableId="995258443">
    <w:abstractNumId w:val="6"/>
  </w:num>
  <w:num w:numId="14" w16cid:durableId="1574585093">
    <w:abstractNumId w:val="15"/>
  </w:num>
  <w:num w:numId="15" w16cid:durableId="581645565">
    <w:abstractNumId w:val="17"/>
  </w:num>
  <w:num w:numId="16" w16cid:durableId="58215349">
    <w:abstractNumId w:val="2"/>
  </w:num>
  <w:num w:numId="17" w16cid:durableId="715666241">
    <w:abstractNumId w:val="5"/>
  </w:num>
  <w:num w:numId="18" w16cid:durableId="403336347">
    <w:abstractNumId w:val="3"/>
  </w:num>
  <w:num w:numId="19" w16cid:durableId="452213747">
    <w:abstractNumId w:val="10"/>
  </w:num>
  <w:num w:numId="20" w16cid:durableId="504201092">
    <w:abstractNumId w:val="8"/>
  </w:num>
  <w:num w:numId="21" w16cid:durableId="598025835">
    <w:abstractNumId w:val="4"/>
  </w:num>
  <w:num w:numId="22" w16cid:durableId="9178137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925"/>
    <w:rsid w:val="00031F0F"/>
    <w:rsid w:val="00036182"/>
    <w:rsid w:val="0004150E"/>
    <w:rsid w:val="00042396"/>
    <w:rsid w:val="000456E0"/>
    <w:rsid w:val="00045D17"/>
    <w:rsid w:val="00061670"/>
    <w:rsid w:val="00066909"/>
    <w:rsid w:val="00074DA8"/>
    <w:rsid w:val="00075C33"/>
    <w:rsid w:val="00083084"/>
    <w:rsid w:val="00086EBF"/>
    <w:rsid w:val="00090C5A"/>
    <w:rsid w:val="00092BDF"/>
    <w:rsid w:val="00094562"/>
    <w:rsid w:val="0009609E"/>
    <w:rsid w:val="000A0D34"/>
    <w:rsid w:val="000A5186"/>
    <w:rsid w:val="000B30C9"/>
    <w:rsid w:val="000B70D8"/>
    <w:rsid w:val="000C03C9"/>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2A95"/>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B56EA"/>
    <w:rsid w:val="001C206E"/>
    <w:rsid w:val="001C7CEE"/>
    <w:rsid w:val="001D0161"/>
    <w:rsid w:val="001D284A"/>
    <w:rsid w:val="001D285E"/>
    <w:rsid w:val="001D2953"/>
    <w:rsid w:val="001E49C0"/>
    <w:rsid w:val="001F2C45"/>
    <w:rsid w:val="001F3F04"/>
    <w:rsid w:val="001F76A4"/>
    <w:rsid w:val="002014E5"/>
    <w:rsid w:val="00201E29"/>
    <w:rsid w:val="00204473"/>
    <w:rsid w:val="0020493E"/>
    <w:rsid w:val="002113B4"/>
    <w:rsid w:val="00220092"/>
    <w:rsid w:val="00230BBE"/>
    <w:rsid w:val="00231B57"/>
    <w:rsid w:val="002320E8"/>
    <w:rsid w:val="0023640E"/>
    <w:rsid w:val="00236DB5"/>
    <w:rsid w:val="00237B8C"/>
    <w:rsid w:val="00241007"/>
    <w:rsid w:val="0024134A"/>
    <w:rsid w:val="00243603"/>
    <w:rsid w:val="0025092A"/>
    <w:rsid w:val="00252449"/>
    <w:rsid w:val="0026001C"/>
    <w:rsid w:val="00260B76"/>
    <w:rsid w:val="002620DE"/>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38A"/>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5A16"/>
    <w:rsid w:val="003C6256"/>
    <w:rsid w:val="003D3A6F"/>
    <w:rsid w:val="00402D13"/>
    <w:rsid w:val="004061F4"/>
    <w:rsid w:val="00410BF0"/>
    <w:rsid w:val="004121AA"/>
    <w:rsid w:val="004128B6"/>
    <w:rsid w:val="00422504"/>
    <w:rsid w:val="004229C1"/>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364C"/>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6F7EF1"/>
    <w:rsid w:val="007010FB"/>
    <w:rsid w:val="007019E0"/>
    <w:rsid w:val="00701A46"/>
    <w:rsid w:val="007117A5"/>
    <w:rsid w:val="00712EF1"/>
    <w:rsid w:val="00715C75"/>
    <w:rsid w:val="00716314"/>
    <w:rsid w:val="0072498E"/>
    <w:rsid w:val="00725080"/>
    <w:rsid w:val="00727237"/>
    <w:rsid w:val="00730593"/>
    <w:rsid w:val="00731400"/>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05C"/>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8706C"/>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7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00B8"/>
    <w:rsid w:val="00AF1222"/>
    <w:rsid w:val="00B018F3"/>
    <w:rsid w:val="00B02EB8"/>
    <w:rsid w:val="00B0398B"/>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416"/>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E1B06"/>
    <w:rsid w:val="00DE51DC"/>
    <w:rsid w:val="00DF344C"/>
    <w:rsid w:val="00DF46B4"/>
    <w:rsid w:val="00E039FB"/>
    <w:rsid w:val="00E059B1"/>
    <w:rsid w:val="00E06429"/>
    <w:rsid w:val="00E11CED"/>
    <w:rsid w:val="00E152B4"/>
    <w:rsid w:val="00E160EF"/>
    <w:rsid w:val="00E2078F"/>
    <w:rsid w:val="00E223A3"/>
    <w:rsid w:val="00E242E5"/>
    <w:rsid w:val="00E27D70"/>
    <w:rsid w:val="00E30DA4"/>
    <w:rsid w:val="00E32583"/>
    <w:rsid w:val="00E437EE"/>
    <w:rsid w:val="00E5673D"/>
    <w:rsid w:val="00E57678"/>
    <w:rsid w:val="00E65843"/>
    <w:rsid w:val="00E662A3"/>
    <w:rsid w:val="00E709DC"/>
    <w:rsid w:val="00E75113"/>
    <w:rsid w:val="00E7588A"/>
    <w:rsid w:val="00E81F0F"/>
    <w:rsid w:val="00E873C4"/>
    <w:rsid w:val="00E87B6A"/>
    <w:rsid w:val="00E90833"/>
    <w:rsid w:val="00E97A2C"/>
    <w:rsid w:val="00EA0861"/>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9712C"/>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C03C9"/>
    <w:rsid w:val="00126267"/>
    <w:rsid w:val="00132A95"/>
    <w:rsid w:val="001410E7"/>
    <w:rsid w:val="00244B26"/>
    <w:rsid w:val="0026689B"/>
    <w:rsid w:val="00291481"/>
    <w:rsid w:val="002B438A"/>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D1DCD"/>
    <w:rsid w:val="007E0200"/>
    <w:rsid w:val="008D269C"/>
    <w:rsid w:val="0096648C"/>
    <w:rsid w:val="00A723AA"/>
    <w:rsid w:val="00B35EEC"/>
    <w:rsid w:val="00B7004C"/>
    <w:rsid w:val="00BB4808"/>
    <w:rsid w:val="00C2221A"/>
    <w:rsid w:val="00C34F4F"/>
    <w:rsid w:val="00D01C83"/>
    <w:rsid w:val="00DB0721"/>
    <w:rsid w:val="00E05648"/>
    <w:rsid w:val="00E169CE"/>
    <w:rsid w:val="00E307F5"/>
    <w:rsid w:val="00E32583"/>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2026-01-27T02:34:00Z</value>
    </field>
    <field name="Objective-ModificationStamp">
      <value order="0">2026-01-27T02:34:01Z</value>
    </field>
    <field name="Objective-Owner">
      <value order="0">Maddy Parkes</value>
    </field>
    <field name="Objective-Path">
      <value order="0">Whole of ACT Government:CED - City and Environment Directorate:00. CED - Handbook (common resources):Common Resources:CED - Document Templates:CED - Document Templates</value>
    </field>
    <field name="Objective-Parent">
      <value order="0">CED - Document Templates</value>
    </field>
    <field name="Objective-State">
      <value order="0">Published</value>
    </field>
    <field name="Objective-VersionId">
      <value order="0">vA75987240</value>
    </field>
    <field name="Objective-Version">
      <value order="0">5.0</value>
    </field>
    <field name="Objective-VersionNumber">
      <value order="0">5</value>
    </field>
    <field name="Objective-VersionComment">
      <value order="0"/>
    </field>
    <field name="Objective-FileNumber">
      <value order="0">1-2026/0009847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7</TotalTime>
  <Pages>5</Pages>
  <Words>1351</Words>
  <Characters>7703</Characters>
  <DocSecurity>4</DocSecurity>
  <Lines>64</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9036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2026-05-14T04:13:00Z</dcterms:created>
  <dcterms:modified xsi:type="dcterms:W3CDTF">2026-05-14T04:13:00Z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
  </vt:lpwstr>
  </property>
  <property fmtid="{D5CDD505-2E9C-101B-9397-08002B2CF9AE}" pid="24" name="bjHeaderFirstPageDocProperty">
    <vt:lpwstr>UNCLASSIFIED_x000d__x000d__x000d__x000d__x000d__x000d__x000d__x000d__x000d__x000d_
  </vt:lpwstr>
  </property>
  <property fmtid="{D5CDD505-2E9C-101B-9397-08002B2CF9AE}" pid="25" name="bjHeaderEvenPageDocProperty">
    <vt:lpwstr>UNCLASSIFIED_x000d__x000d__x000d__x000d__x000d__x000d__x000d__x000d__x000d__x000d_
  </vt:lpwstr>
  </property>
  <property fmtid="{D5CDD505-2E9C-101B-9397-08002B2CF9AE}" pid="26" name="bjFooterBothDocProperty">
    <vt:lpwstr>_x000d__x000d__x000d__x000d__x000d__x000d__x000d__x000d__x000d__x000d_
UNCLASSIFIED </vt:lpwstr>
  </property>
  <property fmtid="{D5CDD505-2E9C-101B-9397-08002B2CF9AE}" pid="27" name="bjFooterFirstPageDocProperty">
    <vt:lpwstr>_x000d__x000d__x000d__x000d__x000d__x000d__x000d__x000d__x000d__x000d_
UNCLASSIFIED </vt:lpwstr>
  </property>
  <property fmtid="{D5CDD505-2E9C-101B-9397-08002B2CF9AE}" pid="28" name="bjFooterEvenPageDocProperty">
    <vt:lpwstr>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A54667171</vt:lpwstr>
  </property>
  <property fmtid="{D5CDD505-2E9C-101B-9397-08002B2CF9AE}" pid="38" name="Objective-Title">
    <vt:lpwstr>CED Position Description Template</vt:lpwstr>
  </property>
  <property fmtid="{D5CDD505-2E9C-101B-9397-08002B2CF9AE}" pid="39" name="Objective-Description">
    <vt:lpwstr/>
  </property>
  <property fmtid="{D5CDD505-2E9C-101B-9397-08002B2CF9AE}" pid="40" name="Objective-CreationStamp">
    <vt:filetime>2025-07-01T23:41:05Z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2026-01-27T02:34:00Z</vt:filetime>
  </property>
  <property fmtid="{D5CDD505-2E9C-101B-9397-08002B2CF9AE}" pid="44" name="Objective-ModificationStamp">
    <vt:filetime>2026-01-27T02:34:01Z</vt:filetime>
  </property>
  <property fmtid="{D5CDD505-2E9C-101B-9397-08002B2CF9AE}" pid="45" name="Objective-Owner">
    <vt:lpwstr>Maddy Parkes</vt:lpwstr>
  </property>
  <property fmtid="{D5CDD505-2E9C-101B-9397-08002B2CF9AE}" pid="46" name="Objective-Path">
    <vt:lpwstr>Whole of ACT Government:CED - City and Environment Directorate:00. CED - Handbook (common resources):Common Resources:CED - Document Templates:CED - Document Templates</vt:lpwstr>
  </property>
  <property fmtid="{D5CDD505-2E9C-101B-9397-08002B2CF9AE}" pid="47" name="Objective-Parent">
    <vt:lpwstr>CED - Document Templates</vt:lpwstr>
  </property>
  <property fmtid="{D5CDD505-2E9C-101B-9397-08002B2CF9AE}" pid="48" name="Objective-State">
    <vt:lpwstr>Published</vt:lpwstr>
  </property>
  <property fmtid="{D5CDD505-2E9C-101B-9397-08002B2CF9AE}" pid="49" name="Objective-VersionId">
    <vt:lpwstr>vA75987240</vt:lpwstr>
  </property>
  <property fmtid="{D5CDD505-2E9C-101B-9397-08002B2CF9AE}" pid="50" name="Objective-Version">
    <vt:lpwstr>5.0</vt:lpwstr>
  </property>
  <property fmtid="{D5CDD505-2E9C-101B-9397-08002B2CF9AE}" pid="51" name="Objective-VersionNumber">
    <vt:r8>5</vt:r8>
  </property>
  <property fmtid="{D5CDD505-2E9C-101B-9397-08002B2CF9AE}" pid="52" name="Objective-VersionComment">
    <vt:lpwstr/>
  </property>
  <property fmtid="{D5CDD505-2E9C-101B-9397-08002B2CF9AE}" pid="53" name="Objective-FileNumber">
    <vt:lpwstr>1-2026/0009847</vt:lpwstr>
  </property>
  <property fmtid="{D5CDD505-2E9C-101B-9397-08002B2CF9AE}" pid="54" name="Objective-Classification">
    <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