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2D910" w14:textId="77777777" w:rsidR="00C60369" w:rsidRPr="000A4C00" w:rsidRDefault="00C60369" w:rsidP="00C60369">
      <w:pPr>
        <w:pStyle w:val="Title"/>
        <w:jc w:val="left"/>
        <w:rPr>
          <w:rFonts w:cs="Calibri"/>
          <w:sz w:val="52"/>
          <w:szCs w:val="52"/>
        </w:rPr>
      </w:pPr>
      <w:r w:rsidRPr="000A4C00">
        <w:rPr>
          <w:rFonts w:cs="Calibri"/>
          <w:noProof/>
        </w:rPr>
        <w:drawing>
          <wp:inline distT="0" distB="0" distL="0" distR="0" wp14:anchorId="09FA9446" wp14:editId="6D16F2BB">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Pr="000A4C00">
        <w:rPr>
          <w:rFonts w:cs="Calibri"/>
        </w:rPr>
        <w:t xml:space="preserve"> </w:t>
      </w:r>
      <w:r w:rsidRPr="000A4C00">
        <w:rPr>
          <w:rFonts w:cs="Calibri"/>
        </w:rPr>
        <w:tab/>
      </w:r>
      <w:r w:rsidRPr="000A4C00">
        <w:rPr>
          <w:rFonts w:cs="Calibri"/>
          <w:sz w:val="52"/>
          <w:szCs w:val="52"/>
        </w:rPr>
        <w:t>POSITION DESCRIPTION</w:t>
      </w:r>
    </w:p>
    <w:tbl>
      <w:tblPr>
        <w:tblStyle w:val="TableGrid"/>
        <w:tblW w:w="9781" w:type="dxa"/>
        <w:tblInd w:w="-142" w:type="dxa"/>
        <w:tblLook w:val="04A0" w:firstRow="1" w:lastRow="0" w:firstColumn="1" w:lastColumn="0" w:noHBand="0" w:noVBand="1"/>
      </w:tblPr>
      <w:tblGrid>
        <w:gridCol w:w="1926"/>
        <w:gridCol w:w="4453"/>
        <w:gridCol w:w="3402"/>
      </w:tblGrid>
      <w:tr w:rsidR="00C60369" w:rsidRPr="000A4C00" w14:paraId="7B74C747" w14:textId="77777777" w:rsidTr="00551E2F">
        <w:tc>
          <w:tcPr>
            <w:tcW w:w="1926" w:type="dxa"/>
            <w:tcBorders>
              <w:top w:val="nil"/>
              <w:left w:val="nil"/>
              <w:bottom w:val="nil"/>
              <w:right w:val="nil"/>
            </w:tcBorders>
          </w:tcPr>
          <w:p w14:paraId="5A0A7067" w14:textId="77777777" w:rsidR="00C60369" w:rsidRPr="000A4C00" w:rsidRDefault="00C60369" w:rsidP="00551E2F">
            <w:pPr>
              <w:pStyle w:val="BodyText"/>
              <w:spacing w:before="60" w:after="60"/>
              <w:rPr>
                <w:rFonts w:cs="Calibri"/>
                <w:color w:val="000000" w:themeColor="text1"/>
                <w:sz w:val="22"/>
                <w:szCs w:val="22"/>
              </w:rPr>
            </w:pPr>
            <w:bookmarkStart w:id="0" w:name="_Hlk134425927"/>
            <w:bookmarkStart w:id="1" w:name="_Hlk134425941"/>
            <w:bookmarkStart w:id="2" w:name="_Hlk186805349"/>
            <w:bookmarkStart w:id="3" w:name="_Hlk202340009"/>
            <w:r w:rsidRPr="000A4C00">
              <w:rPr>
                <w:rFonts w:cs="Calibri"/>
                <w:b/>
                <w:color w:val="000000" w:themeColor="text1"/>
                <w:sz w:val="22"/>
                <w:szCs w:val="22"/>
              </w:rPr>
              <w:t>Directorate</w:t>
            </w:r>
          </w:p>
        </w:tc>
        <w:tc>
          <w:tcPr>
            <w:tcW w:w="4453" w:type="dxa"/>
            <w:tcBorders>
              <w:top w:val="nil"/>
              <w:left w:val="nil"/>
              <w:bottom w:val="nil"/>
              <w:right w:val="single" w:sz="4" w:space="0" w:color="auto"/>
            </w:tcBorders>
          </w:tcPr>
          <w:p w14:paraId="5D87089E" w14:textId="77777777" w:rsidR="00C60369" w:rsidRPr="000A4C00" w:rsidRDefault="00C60369" w:rsidP="00551E2F">
            <w:pPr>
              <w:pStyle w:val="BodyText"/>
              <w:spacing w:before="60" w:after="60"/>
              <w:rPr>
                <w:rFonts w:cs="Calibri"/>
                <w:color w:val="000000" w:themeColor="text1"/>
                <w:sz w:val="22"/>
                <w:szCs w:val="22"/>
              </w:rPr>
            </w:pPr>
            <w:r w:rsidRPr="000A4C00">
              <w:rPr>
                <w:rFonts w:cs="Calibri"/>
                <w:color w:val="000000" w:themeColor="text1"/>
                <w:sz w:val="22"/>
                <w:szCs w:val="22"/>
              </w:rPr>
              <w:t>Justice and Community Safety</w:t>
            </w:r>
          </w:p>
        </w:tc>
        <w:tc>
          <w:tcPr>
            <w:tcW w:w="3402" w:type="dxa"/>
            <w:tcBorders>
              <w:left w:val="single" w:sz="4" w:space="0" w:color="auto"/>
            </w:tcBorders>
            <w:vAlign w:val="center"/>
          </w:tcPr>
          <w:p w14:paraId="20627024" w14:textId="77777777" w:rsidR="00C60369" w:rsidRPr="000A4C00" w:rsidRDefault="00C60369" w:rsidP="00551E2F">
            <w:pPr>
              <w:pStyle w:val="BodyText"/>
              <w:spacing w:before="60" w:after="60"/>
              <w:jc w:val="center"/>
              <w:rPr>
                <w:rFonts w:cs="Calibri"/>
                <w:color w:val="000000" w:themeColor="text1"/>
                <w:sz w:val="22"/>
                <w:szCs w:val="22"/>
              </w:rPr>
            </w:pPr>
            <w:r w:rsidRPr="000A4C00">
              <w:rPr>
                <w:rFonts w:cs="Calibri"/>
                <w:b/>
                <w:color w:val="000000" w:themeColor="text1"/>
                <w:sz w:val="22"/>
                <w:szCs w:val="22"/>
              </w:rPr>
              <w:t>Reporting Relationships</w:t>
            </w:r>
          </w:p>
        </w:tc>
      </w:tr>
      <w:tr w:rsidR="00C60369" w:rsidRPr="000A4C00" w14:paraId="62A95B4A" w14:textId="77777777" w:rsidTr="00551E2F">
        <w:tc>
          <w:tcPr>
            <w:tcW w:w="1926" w:type="dxa"/>
            <w:tcBorders>
              <w:top w:val="nil"/>
              <w:left w:val="nil"/>
              <w:bottom w:val="nil"/>
              <w:right w:val="nil"/>
            </w:tcBorders>
          </w:tcPr>
          <w:p w14:paraId="4A0DE375" w14:textId="77777777" w:rsidR="00C60369" w:rsidRPr="000A4C00" w:rsidRDefault="00C60369" w:rsidP="00551E2F">
            <w:pPr>
              <w:pStyle w:val="BodyText"/>
              <w:spacing w:before="60" w:after="60"/>
              <w:rPr>
                <w:rFonts w:cs="Calibri"/>
                <w:color w:val="000000" w:themeColor="text1"/>
                <w:sz w:val="22"/>
                <w:szCs w:val="22"/>
              </w:rPr>
            </w:pPr>
            <w:r w:rsidRPr="000A4C00">
              <w:rPr>
                <w:rFonts w:cs="Calibri"/>
                <w:b/>
                <w:color w:val="000000" w:themeColor="text1"/>
                <w:sz w:val="22"/>
                <w:szCs w:val="22"/>
              </w:rPr>
              <w:t>Business Unit</w:t>
            </w:r>
          </w:p>
        </w:tc>
        <w:tc>
          <w:tcPr>
            <w:tcW w:w="4453" w:type="dxa"/>
            <w:tcBorders>
              <w:top w:val="nil"/>
              <w:left w:val="nil"/>
              <w:bottom w:val="nil"/>
              <w:right w:val="single" w:sz="4" w:space="0" w:color="auto"/>
            </w:tcBorders>
          </w:tcPr>
          <w:p w14:paraId="11DBD24E" w14:textId="77777777" w:rsidR="00C60369" w:rsidRPr="000A4C00" w:rsidRDefault="00C60369" w:rsidP="00551E2F">
            <w:pPr>
              <w:pStyle w:val="BodyText"/>
              <w:spacing w:before="60" w:after="60"/>
              <w:rPr>
                <w:rFonts w:cs="Calibri"/>
                <w:color w:val="000000" w:themeColor="text1"/>
                <w:sz w:val="22"/>
                <w:szCs w:val="22"/>
              </w:rPr>
            </w:pPr>
            <w:r w:rsidRPr="000A4C00">
              <w:rPr>
                <w:rFonts w:cs="Calibri"/>
                <w:color w:val="000000" w:themeColor="text1"/>
                <w:sz w:val="22"/>
                <w:szCs w:val="22"/>
              </w:rPr>
              <w:t>ACT Courts and Tribunal</w:t>
            </w:r>
          </w:p>
        </w:tc>
        <w:tc>
          <w:tcPr>
            <w:tcW w:w="3402" w:type="dxa"/>
            <w:vMerge w:val="restart"/>
            <w:tcBorders>
              <w:left w:val="single" w:sz="4" w:space="0" w:color="auto"/>
            </w:tcBorders>
            <w:vAlign w:val="center"/>
          </w:tcPr>
          <w:p w14:paraId="15A9B707" w14:textId="77777777" w:rsidR="00C60369" w:rsidRDefault="00C60369" w:rsidP="00551E2F">
            <w:pPr>
              <w:pStyle w:val="BodyText"/>
              <w:spacing w:before="60" w:after="60"/>
              <w:jc w:val="center"/>
              <w:rPr>
                <w:rFonts w:cs="Calibri"/>
                <w:color w:val="000000" w:themeColor="text1"/>
                <w:sz w:val="22"/>
                <w:szCs w:val="22"/>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tblGrid>
            <w:tr w:rsidR="00B350E5" w:rsidRPr="000A4C00" w14:paraId="67D379B3" w14:textId="77777777" w:rsidTr="005E2BC2">
              <w:trPr>
                <w:trHeight w:val="680"/>
              </w:trPr>
              <w:tc>
                <w:tcPr>
                  <w:tcW w:w="2835" w:type="dxa"/>
                  <w:tcBorders>
                    <w:top w:val="single" w:sz="4" w:space="0" w:color="auto"/>
                    <w:left w:val="single" w:sz="4" w:space="0" w:color="auto"/>
                    <w:bottom w:val="single" w:sz="4" w:space="0" w:color="auto"/>
                    <w:right w:val="single" w:sz="4" w:space="0" w:color="auto"/>
                  </w:tcBorders>
                  <w:vAlign w:val="center"/>
                </w:tcPr>
                <w:p w14:paraId="4FC230B5" w14:textId="77777777" w:rsidR="00B350E5" w:rsidRPr="000A4C00" w:rsidRDefault="00B350E5" w:rsidP="00B350E5">
                  <w:pPr>
                    <w:pStyle w:val="BodyText"/>
                    <w:spacing w:before="60" w:after="60"/>
                    <w:jc w:val="center"/>
                    <w:rPr>
                      <w:rFonts w:cs="Calibri"/>
                      <w:iCs/>
                      <w:color w:val="000000" w:themeColor="text1"/>
                      <w:sz w:val="22"/>
                      <w:szCs w:val="22"/>
                    </w:rPr>
                  </w:pPr>
                  <w:r w:rsidRPr="000A4C00">
                    <w:rPr>
                      <w:rFonts w:cs="Calibri"/>
                      <w:iCs/>
                      <w:color w:val="000000" w:themeColor="text1"/>
                      <w:sz w:val="22"/>
                      <w:szCs w:val="22"/>
                    </w:rPr>
                    <w:t>Chief Executive Officer</w:t>
                  </w:r>
                </w:p>
              </w:tc>
            </w:tr>
            <w:tr w:rsidR="00B350E5" w:rsidRPr="000A4C00" w14:paraId="4D529BB6" w14:textId="77777777" w:rsidTr="005E2BC2">
              <w:trPr>
                <w:trHeight w:val="340"/>
              </w:trPr>
              <w:tc>
                <w:tcPr>
                  <w:tcW w:w="2835" w:type="dxa"/>
                  <w:tcBorders>
                    <w:top w:val="single" w:sz="4" w:space="0" w:color="auto"/>
                    <w:bottom w:val="single" w:sz="8" w:space="0" w:color="auto"/>
                    <w:right w:val="nil"/>
                  </w:tcBorders>
                  <w:vAlign w:val="center"/>
                </w:tcPr>
                <w:p w14:paraId="36F0C216" w14:textId="77777777" w:rsidR="00B350E5" w:rsidRPr="000A4C00" w:rsidRDefault="00B350E5" w:rsidP="00B350E5">
                  <w:pPr>
                    <w:pStyle w:val="BodyText"/>
                    <w:spacing w:before="60" w:after="60"/>
                    <w:jc w:val="center"/>
                    <w:rPr>
                      <w:rFonts w:cs="Calibri"/>
                      <w:noProof/>
                      <w:color w:val="000000" w:themeColor="text1"/>
                      <w:sz w:val="22"/>
                      <w:szCs w:val="22"/>
                    </w:rPr>
                  </w:pPr>
                  <w:r w:rsidRPr="000A4C00">
                    <w:rPr>
                      <w:rFonts w:cs="Calibri"/>
                      <w:noProof/>
                      <w:color w:val="000000" w:themeColor="text1"/>
                      <w:sz w:val="22"/>
                      <w:szCs w:val="22"/>
                    </w:rPr>
                    <w:drawing>
                      <wp:inline distT="0" distB="0" distL="0" distR="0" wp14:anchorId="25706CB8" wp14:editId="65079234">
                        <wp:extent cx="255905" cy="182880"/>
                        <wp:effectExtent l="0" t="0" r="0" b="7620"/>
                        <wp:docPr id="1950109584" name="Picture 195010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B350E5" w:rsidRPr="000A4C00" w14:paraId="437E8C20" w14:textId="77777777" w:rsidTr="005E2BC2">
              <w:trPr>
                <w:trHeight w:val="680"/>
              </w:trPr>
              <w:tc>
                <w:tcPr>
                  <w:tcW w:w="2835" w:type="dxa"/>
                  <w:tcBorders>
                    <w:top w:val="single" w:sz="8" w:space="0" w:color="auto"/>
                    <w:left w:val="single" w:sz="8" w:space="0" w:color="auto"/>
                    <w:bottom w:val="single" w:sz="8" w:space="0" w:color="auto"/>
                    <w:right w:val="single" w:sz="8" w:space="0" w:color="auto"/>
                  </w:tcBorders>
                  <w:vAlign w:val="center"/>
                </w:tcPr>
                <w:p w14:paraId="752C6729" w14:textId="77777777" w:rsidR="00B350E5" w:rsidRPr="00BC3B64" w:rsidRDefault="00B350E5" w:rsidP="00B350E5">
                  <w:pPr>
                    <w:pStyle w:val="BodyText"/>
                    <w:spacing w:before="60" w:after="60"/>
                    <w:jc w:val="center"/>
                    <w:rPr>
                      <w:rFonts w:cs="Calibri"/>
                      <w:color w:val="000000" w:themeColor="text1"/>
                      <w:sz w:val="22"/>
                      <w:szCs w:val="22"/>
                    </w:rPr>
                  </w:pPr>
                  <w:r w:rsidRPr="00BC3B64">
                    <w:rPr>
                      <w:rFonts w:cs="Calibri"/>
                      <w:color w:val="000000" w:themeColor="text1"/>
                      <w:sz w:val="22"/>
                      <w:szCs w:val="22"/>
                    </w:rPr>
                    <w:t>Executive Branch Manager, Corporate and Strategic Services</w:t>
                  </w:r>
                </w:p>
              </w:tc>
            </w:tr>
            <w:tr w:rsidR="00B350E5" w:rsidRPr="000A4C00" w14:paraId="6FAEF909" w14:textId="77777777" w:rsidTr="00B350E5">
              <w:trPr>
                <w:trHeight w:val="113"/>
              </w:trPr>
              <w:tc>
                <w:tcPr>
                  <w:tcW w:w="2835" w:type="dxa"/>
                  <w:tcBorders>
                    <w:top w:val="single" w:sz="8" w:space="0" w:color="auto"/>
                    <w:bottom w:val="single" w:sz="4" w:space="0" w:color="auto"/>
                  </w:tcBorders>
                  <w:vAlign w:val="center"/>
                </w:tcPr>
                <w:p w14:paraId="68D287C1" w14:textId="77777777" w:rsidR="00B350E5" w:rsidRPr="000A4C00" w:rsidRDefault="00B350E5" w:rsidP="00B350E5">
                  <w:pPr>
                    <w:pStyle w:val="BodyText"/>
                    <w:spacing w:before="60" w:after="60"/>
                    <w:jc w:val="center"/>
                    <w:rPr>
                      <w:rFonts w:cs="Calibri"/>
                      <w:color w:val="000000" w:themeColor="text1"/>
                      <w:sz w:val="22"/>
                      <w:szCs w:val="22"/>
                    </w:rPr>
                  </w:pPr>
                  <w:r w:rsidRPr="000A4C00">
                    <w:rPr>
                      <w:rFonts w:cs="Calibri"/>
                      <w:noProof/>
                      <w:color w:val="000000" w:themeColor="text1"/>
                      <w:sz w:val="22"/>
                      <w:szCs w:val="22"/>
                    </w:rPr>
                    <w:drawing>
                      <wp:inline distT="0" distB="0" distL="0" distR="0" wp14:anchorId="6E80BA0B" wp14:editId="5B6E1A13">
                        <wp:extent cx="255905" cy="182880"/>
                        <wp:effectExtent l="0" t="0" r="0" b="7620"/>
                        <wp:docPr id="915416440" name="Picture 9154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182880"/>
                                </a:xfrm>
                                <a:prstGeom prst="rect">
                                  <a:avLst/>
                                </a:prstGeom>
                                <a:noFill/>
                              </pic:spPr>
                            </pic:pic>
                          </a:graphicData>
                        </a:graphic>
                      </wp:inline>
                    </w:drawing>
                  </w:r>
                </w:p>
              </w:tc>
            </w:tr>
            <w:tr w:rsidR="00B350E5" w:rsidRPr="000A4C00" w14:paraId="358E0C08" w14:textId="77777777" w:rsidTr="00B350E5">
              <w:trPr>
                <w:trHeight w:val="113"/>
              </w:trPr>
              <w:tc>
                <w:tcPr>
                  <w:tcW w:w="2835" w:type="dxa"/>
                  <w:tcBorders>
                    <w:top w:val="single" w:sz="4" w:space="0" w:color="auto"/>
                    <w:left w:val="single" w:sz="4" w:space="0" w:color="auto"/>
                    <w:bottom w:val="single" w:sz="4" w:space="0" w:color="auto"/>
                    <w:right w:val="single" w:sz="4" w:space="0" w:color="auto"/>
                  </w:tcBorders>
                  <w:vAlign w:val="center"/>
                </w:tcPr>
                <w:p w14:paraId="2694CD20" w14:textId="77777777" w:rsidR="00B350E5" w:rsidRPr="000A4C00" w:rsidRDefault="00B350E5" w:rsidP="00B350E5">
                  <w:pPr>
                    <w:pStyle w:val="BodyText"/>
                    <w:spacing w:before="60" w:after="60"/>
                    <w:jc w:val="center"/>
                    <w:rPr>
                      <w:rFonts w:cs="Calibri"/>
                      <w:noProof/>
                      <w:color w:val="000000" w:themeColor="text1"/>
                      <w:sz w:val="22"/>
                      <w:szCs w:val="22"/>
                    </w:rPr>
                  </w:pPr>
                  <w:r w:rsidRPr="00BC3B64">
                    <w:rPr>
                      <w:rFonts w:cs="Calibri"/>
                      <w:b/>
                      <w:bCs/>
                      <w:color w:val="000000" w:themeColor="text1"/>
                      <w:sz w:val="22"/>
                      <w:szCs w:val="22"/>
                    </w:rPr>
                    <w:t>Executive Director, ACTCT Modernisation Program</w:t>
                  </w:r>
                </w:p>
              </w:tc>
            </w:tr>
          </w:tbl>
          <w:p w14:paraId="50FBB05A" w14:textId="67CEAB6A" w:rsidR="00B350E5" w:rsidRPr="000A4C00" w:rsidRDefault="00B350E5" w:rsidP="00B350E5">
            <w:pPr>
              <w:pStyle w:val="BodyText"/>
              <w:spacing w:before="60" w:after="60"/>
              <w:jc w:val="center"/>
              <w:rPr>
                <w:rFonts w:cs="Calibri"/>
                <w:color w:val="000000" w:themeColor="text1"/>
                <w:sz w:val="22"/>
                <w:szCs w:val="22"/>
              </w:rPr>
            </w:pPr>
            <w:r w:rsidRPr="00B350E5">
              <w:rPr>
                <w:rFonts w:cs="Calibri"/>
                <w:color w:val="FFFFFF" w:themeColor="background1"/>
                <w:sz w:val="22"/>
                <w:szCs w:val="22"/>
              </w:rPr>
              <w:t>.</w:t>
            </w:r>
          </w:p>
        </w:tc>
      </w:tr>
      <w:tr w:rsidR="00C60369" w:rsidRPr="000A4C00" w14:paraId="61910CC1" w14:textId="77777777" w:rsidTr="00551E2F">
        <w:tc>
          <w:tcPr>
            <w:tcW w:w="1926" w:type="dxa"/>
            <w:tcBorders>
              <w:top w:val="nil"/>
              <w:left w:val="nil"/>
              <w:bottom w:val="nil"/>
              <w:right w:val="nil"/>
            </w:tcBorders>
          </w:tcPr>
          <w:p w14:paraId="1620039F" w14:textId="77777777" w:rsidR="00C60369" w:rsidRPr="000A4C00" w:rsidRDefault="00C60369" w:rsidP="00551E2F">
            <w:pPr>
              <w:pStyle w:val="BodyText"/>
              <w:spacing w:before="60" w:after="60"/>
              <w:rPr>
                <w:rFonts w:cs="Calibri"/>
                <w:color w:val="000000" w:themeColor="text1"/>
                <w:sz w:val="22"/>
                <w:szCs w:val="22"/>
              </w:rPr>
            </w:pPr>
            <w:r w:rsidRPr="000A4C00">
              <w:rPr>
                <w:rFonts w:cs="Calibri"/>
                <w:b/>
                <w:color w:val="000000" w:themeColor="text1"/>
                <w:sz w:val="22"/>
                <w:szCs w:val="22"/>
              </w:rPr>
              <w:t>Branch</w:t>
            </w:r>
          </w:p>
        </w:tc>
        <w:tc>
          <w:tcPr>
            <w:tcW w:w="4453" w:type="dxa"/>
            <w:tcBorders>
              <w:top w:val="nil"/>
              <w:left w:val="nil"/>
              <w:bottom w:val="nil"/>
              <w:right w:val="single" w:sz="4" w:space="0" w:color="auto"/>
            </w:tcBorders>
          </w:tcPr>
          <w:p w14:paraId="6537A727" w14:textId="3C563E03" w:rsidR="00C60369" w:rsidRPr="000A4C00" w:rsidRDefault="00304C83" w:rsidP="00551E2F">
            <w:pPr>
              <w:pStyle w:val="BodyText"/>
              <w:spacing w:before="60" w:after="60"/>
              <w:rPr>
                <w:rFonts w:cs="Calibri"/>
                <w:color w:val="000000" w:themeColor="text1"/>
                <w:sz w:val="22"/>
                <w:szCs w:val="22"/>
              </w:rPr>
            </w:pPr>
            <w:r w:rsidRPr="000A4C00">
              <w:rPr>
                <w:rFonts w:cs="Calibri"/>
                <w:color w:val="000000" w:themeColor="text1"/>
                <w:sz w:val="22"/>
                <w:szCs w:val="22"/>
              </w:rPr>
              <w:t>Corporate and Strategic Services</w:t>
            </w:r>
          </w:p>
        </w:tc>
        <w:tc>
          <w:tcPr>
            <w:tcW w:w="3402" w:type="dxa"/>
            <w:vMerge/>
            <w:tcBorders>
              <w:left w:val="single" w:sz="4" w:space="0" w:color="auto"/>
            </w:tcBorders>
          </w:tcPr>
          <w:p w14:paraId="23146C72" w14:textId="77777777" w:rsidR="00C60369" w:rsidRPr="000A4C00" w:rsidRDefault="00C60369" w:rsidP="00551E2F">
            <w:pPr>
              <w:pStyle w:val="BodyText"/>
              <w:spacing w:before="60" w:after="60"/>
              <w:rPr>
                <w:rFonts w:cs="Calibri"/>
                <w:color w:val="000000" w:themeColor="text1"/>
                <w:sz w:val="22"/>
                <w:szCs w:val="22"/>
              </w:rPr>
            </w:pPr>
          </w:p>
        </w:tc>
      </w:tr>
      <w:tr w:rsidR="00C60369" w:rsidRPr="000A4C00" w14:paraId="47295E95" w14:textId="77777777" w:rsidTr="00551E2F">
        <w:tc>
          <w:tcPr>
            <w:tcW w:w="1926" w:type="dxa"/>
            <w:tcBorders>
              <w:top w:val="nil"/>
              <w:left w:val="nil"/>
              <w:bottom w:val="nil"/>
              <w:right w:val="nil"/>
            </w:tcBorders>
          </w:tcPr>
          <w:p w14:paraId="14A342EC" w14:textId="77777777" w:rsidR="00C60369" w:rsidRPr="000A4C00" w:rsidRDefault="00C60369" w:rsidP="00551E2F">
            <w:pPr>
              <w:pStyle w:val="BodyText"/>
              <w:spacing w:before="60" w:after="60"/>
              <w:rPr>
                <w:rFonts w:cs="Calibri"/>
                <w:color w:val="000000" w:themeColor="text1"/>
                <w:sz w:val="22"/>
                <w:szCs w:val="22"/>
              </w:rPr>
            </w:pPr>
            <w:r w:rsidRPr="000A4C00">
              <w:rPr>
                <w:rFonts w:cs="Calibri"/>
                <w:b/>
                <w:color w:val="000000" w:themeColor="text1"/>
                <w:sz w:val="22"/>
                <w:szCs w:val="22"/>
              </w:rPr>
              <w:t>Position Title</w:t>
            </w:r>
          </w:p>
        </w:tc>
        <w:tc>
          <w:tcPr>
            <w:tcW w:w="4453" w:type="dxa"/>
            <w:tcBorders>
              <w:top w:val="nil"/>
              <w:left w:val="nil"/>
              <w:bottom w:val="nil"/>
              <w:right w:val="single" w:sz="4" w:space="0" w:color="auto"/>
            </w:tcBorders>
          </w:tcPr>
          <w:p w14:paraId="564B2668" w14:textId="50A6D2ED" w:rsidR="00C60369" w:rsidRPr="000A4C00" w:rsidRDefault="00BC3B64" w:rsidP="00551E2F">
            <w:pPr>
              <w:pStyle w:val="BodyText"/>
              <w:spacing w:before="60" w:after="60"/>
              <w:rPr>
                <w:rFonts w:cs="Calibri"/>
                <w:color w:val="000000" w:themeColor="text1"/>
                <w:sz w:val="22"/>
                <w:szCs w:val="22"/>
              </w:rPr>
            </w:pPr>
            <w:r w:rsidRPr="00BC3B64">
              <w:rPr>
                <w:rFonts w:cs="Calibri"/>
                <w:sz w:val="22"/>
                <w:szCs w:val="22"/>
              </w:rPr>
              <w:t>Executive Director, ACTCT Modernisation Program</w:t>
            </w:r>
          </w:p>
        </w:tc>
        <w:tc>
          <w:tcPr>
            <w:tcW w:w="3402" w:type="dxa"/>
            <w:vMerge/>
            <w:tcBorders>
              <w:left w:val="single" w:sz="4" w:space="0" w:color="auto"/>
            </w:tcBorders>
          </w:tcPr>
          <w:p w14:paraId="1C0D5959" w14:textId="77777777" w:rsidR="00C60369" w:rsidRPr="000A4C00" w:rsidRDefault="00C60369" w:rsidP="00551E2F">
            <w:pPr>
              <w:pStyle w:val="BodyText"/>
              <w:spacing w:before="60" w:after="60"/>
              <w:rPr>
                <w:rFonts w:cs="Calibri"/>
                <w:color w:val="000000" w:themeColor="text1"/>
                <w:sz w:val="22"/>
                <w:szCs w:val="22"/>
              </w:rPr>
            </w:pPr>
          </w:p>
        </w:tc>
      </w:tr>
      <w:bookmarkEnd w:id="0"/>
      <w:bookmarkEnd w:id="1"/>
      <w:bookmarkEnd w:id="2"/>
      <w:tr w:rsidR="00ED49CC" w:rsidRPr="000A4C00" w14:paraId="73BD7896" w14:textId="77777777" w:rsidTr="00551E2F">
        <w:tc>
          <w:tcPr>
            <w:tcW w:w="1926" w:type="dxa"/>
            <w:tcBorders>
              <w:top w:val="nil"/>
              <w:left w:val="nil"/>
              <w:bottom w:val="nil"/>
              <w:right w:val="nil"/>
            </w:tcBorders>
          </w:tcPr>
          <w:p w14:paraId="191E5D43" w14:textId="77777777" w:rsidR="00ED49CC" w:rsidRPr="000A4C00" w:rsidRDefault="00ED49CC" w:rsidP="00ED49CC">
            <w:pPr>
              <w:pStyle w:val="BodyText"/>
              <w:spacing w:before="60" w:after="60"/>
              <w:rPr>
                <w:rFonts w:cs="Calibri"/>
                <w:b/>
                <w:color w:val="000000" w:themeColor="text1"/>
                <w:sz w:val="22"/>
                <w:szCs w:val="22"/>
              </w:rPr>
            </w:pPr>
            <w:r w:rsidRPr="000A4C00">
              <w:rPr>
                <w:rFonts w:cs="Calibri"/>
                <w:b/>
                <w:color w:val="000000" w:themeColor="text1"/>
                <w:sz w:val="22"/>
                <w:szCs w:val="22"/>
              </w:rPr>
              <w:t>Position Number</w:t>
            </w:r>
          </w:p>
        </w:tc>
        <w:tc>
          <w:tcPr>
            <w:tcW w:w="4453" w:type="dxa"/>
            <w:tcBorders>
              <w:top w:val="nil"/>
              <w:left w:val="nil"/>
              <w:bottom w:val="nil"/>
              <w:right w:val="single" w:sz="4" w:space="0" w:color="auto"/>
            </w:tcBorders>
          </w:tcPr>
          <w:p w14:paraId="3CEC92BB" w14:textId="24304C59" w:rsidR="00ED49CC" w:rsidRPr="000A4C00" w:rsidRDefault="00AD0DB6" w:rsidP="00ED49CC">
            <w:pPr>
              <w:pStyle w:val="BodyText"/>
              <w:spacing w:before="60" w:after="60"/>
              <w:rPr>
                <w:rFonts w:cs="Calibri"/>
                <w:color w:val="000000" w:themeColor="text1"/>
                <w:sz w:val="22"/>
                <w:szCs w:val="22"/>
              </w:rPr>
            </w:pPr>
            <w:r>
              <w:rPr>
                <w:rFonts w:cs="Calibri"/>
                <w:color w:val="000000" w:themeColor="text1"/>
                <w:sz w:val="22"/>
                <w:szCs w:val="22"/>
              </w:rPr>
              <w:t>E</w:t>
            </w:r>
            <w:r w:rsidR="00367185">
              <w:rPr>
                <w:rFonts w:cs="Calibri"/>
                <w:color w:val="000000" w:themeColor="text1"/>
                <w:sz w:val="22"/>
                <w:szCs w:val="22"/>
              </w:rPr>
              <w:t>1462</w:t>
            </w:r>
          </w:p>
        </w:tc>
        <w:tc>
          <w:tcPr>
            <w:tcW w:w="3402" w:type="dxa"/>
            <w:vMerge/>
            <w:tcBorders>
              <w:left w:val="single" w:sz="4" w:space="0" w:color="auto"/>
            </w:tcBorders>
          </w:tcPr>
          <w:p w14:paraId="5AC5DD09" w14:textId="77777777" w:rsidR="00ED49CC" w:rsidRPr="000A4C00" w:rsidRDefault="00ED49CC" w:rsidP="00ED49CC">
            <w:pPr>
              <w:pStyle w:val="BodyText"/>
              <w:spacing w:before="60" w:after="60"/>
              <w:rPr>
                <w:rFonts w:cs="Calibri"/>
                <w:color w:val="000000" w:themeColor="text1"/>
                <w:sz w:val="22"/>
                <w:szCs w:val="22"/>
              </w:rPr>
            </w:pPr>
          </w:p>
        </w:tc>
      </w:tr>
      <w:tr w:rsidR="00ED49CC" w:rsidRPr="000A4C00" w14:paraId="4334C51B" w14:textId="77777777" w:rsidTr="00551E2F">
        <w:tc>
          <w:tcPr>
            <w:tcW w:w="1926" w:type="dxa"/>
            <w:tcBorders>
              <w:top w:val="nil"/>
              <w:left w:val="nil"/>
              <w:bottom w:val="nil"/>
              <w:right w:val="nil"/>
            </w:tcBorders>
          </w:tcPr>
          <w:p w14:paraId="46C7F5EC" w14:textId="77777777" w:rsidR="00ED49CC" w:rsidRPr="000A4C00" w:rsidRDefault="00ED49CC" w:rsidP="00ED49CC">
            <w:pPr>
              <w:pStyle w:val="BodyText"/>
              <w:spacing w:before="60" w:after="60"/>
              <w:rPr>
                <w:rFonts w:cs="Calibri"/>
                <w:b/>
                <w:color w:val="000000" w:themeColor="text1"/>
                <w:sz w:val="22"/>
                <w:szCs w:val="22"/>
              </w:rPr>
            </w:pPr>
            <w:r w:rsidRPr="000A4C00">
              <w:rPr>
                <w:rFonts w:cs="Calibri"/>
                <w:b/>
                <w:color w:val="000000" w:themeColor="text1"/>
                <w:sz w:val="22"/>
                <w:szCs w:val="22"/>
              </w:rPr>
              <w:t>Classification</w:t>
            </w:r>
          </w:p>
        </w:tc>
        <w:tc>
          <w:tcPr>
            <w:tcW w:w="4453" w:type="dxa"/>
            <w:tcBorders>
              <w:top w:val="nil"/>
              <w:left w:val="nil"/>
              <w:bottom w:val="nil"/>
              <w:right w:val="single" w:sz="4" w:space="0" w:color="auto"/>
            </w:tcBorders>
          </w:tcPr>
          <w:p w14:paraId="00323A14" w14:textId="2CB67B77" w:rsidR="00ED49CC" w:rsidRPr="000A4C00" w:rsidRDefault="00ED49CC" w:rsidP="00ED49CC">
            <w:pPr>
              <w:pStyle w:val="BodyText"/>
              <w:spacing w:before="60" w:after="60"/>
              <w:rPr>
                <w:rFonts w:cs="Calibri"/>
                <w:color w:val="000000" w:themeColor="text1"/>
                <w:sz w:val="22"/>
                <w:szCs w:val="22"/>
              </w:rPr>
            </w:pPr>
            <w:r w:rsidRPr="000A4C00">
              <w:rPr>
                <w:rFonts w:cs="Calibri"/>
                <w:sz w:val="22"/>
                <w:szCs w:val="22"/>
              </w:rPr>
              <w:t>Contract Executive 1.</w:t>
            </w:r>
            <w:r w:rsidR="007C7F29">
              <w:rPr>
                <w:rFonts w:cs="Calibri"/>
                <w:sz w:val="22"/>
                <w:szCs w:val="22"/>
              </w:rPr>
              <w:t>1</w:t>
            </w:r>
          </w:p>
        </w:tc>
        <w:tc>
          <w:tcPr>
            <w:tcW w:w="3402" w:type="dxa"/>
            <w:vMerge/>
            <w:tcBorders>
              <w:left w:val="single" w:sz="4" w:space="0" w:color="auto"/>
            </w:tcBorders>
          </w:tcPr>
          <w:p w14:paraId="21EAAE7D" w14:textId="77777777" w:rsidR="00ED49CC" w:rsidRPr="000A4C00" w:rsidRDefault="00ED49CC" w:rsidP="00ED49CC">
            <w:pPr>
              <w:pStyle w:val="BodyText"/>
              <w:spacing w:before="60" w:after="60"/>
              <w:rPr>
                <w:rFonts w:cs="Calibri"/>
                <w:color w:val="000000" w:themeColor="text1"/>
                <w:sz w:val="22"/>
                <w:szCs w:val="22"/>
              </w:rPr>
            </w:pPr>
          </w:p>
        </w:tc>
      </w:tr>
      <w:tr w:rsidR="00ED49CC" w:rsidRPr="000A4C00" w14:paraId="1DEC28A0" w14:textId="77777777" w:rsidTr="00551E2F">
        <w:tc>
          <w:tcPr>
            <w:tcW w:w="1926" w:type="dxa"/>
            <w:tcBorders>
              <w:top w:val="nil"/>
              <w:left w:val="nil"/>
              <w:bottom w:val="nil"/>
              <w:right w:val="nil"/>
            </w:tcBorders>
          </w:tcPr>
          <w:p w14:paraId="5A7A80E9" w14:textId="77777777" w:rsidR="00ED49CC" w:rsidRPr="000A4C00" w:rsidRDefault="00ED49CC" w:rsidP="00ED49CC">
            <w:pPr>
              <w:pStyle w:val="BodyText"/>
              <w:spacing w:before="60" w:after="60"/>
              <w:rPr>
                <w:rFonts w:cs="Calibri"/>
                <w:color w:val="000000" w:themeColor="text1"/>
                <w:sz w:val="22"/>
                <w:szCs w:val="22"/>
              </w:rPr>
            </w:pPr>
            <w:r w:rsidRPr="000A4C00">
              <w:rPr>
                <w:rFonts w:cs="Calibri"/>
                <w:b/>
                <w:color w:val="000000" w:themeColor="text1"/>
                <w:sz w:val="22"/>
                <w:szCs w:val="22"/>
              </w:rPr>
              <w:t>Location</w:t>
            </w:r>
          </w:p>
        </w:tc>
        <w:tc>
          <w:tcPr>
            <w:tcW w:w="4453" w:type="dxa"/>
            <w:tcBorders>
              <w:top w:val="nil"/>
              <w:left w:val="nil"/>
              <w:bottom w:val="nil"/>
              <w:right w:val="single" w:sz="4" w:space="0" w:color="auto"/>
            </w:tcBorders>
          </w:tcPr>
          <w:p w14:paraId="28B05E43" w14:textId="2541F695" w:rsidR="00ED49CC" w:rsidRPr="000A4C00" w:rsidRDefault="00ED49CC" w:rsidP="00ED49CC">
            <w:pPr>
              <w:pStyle w:val="BodyText"/>
              <w:spacing w:before="60" w:after="60"/>
              <w:rPr>
                <w:rFonts w:cs="Calibri"/>
                <w:color w:val="000000" w:themeColor="text1"/>
                <w:sz w:val="22"/>
                <w:szCs w:val="22"/>
              </w:rPr>
            </w:pPr>
            <w:r w:rsidRPr="000A4C00">
              <w:rPr>
                <w:rFonts w:cs="Calibri"/>
                <w:sz w:val="22"/>
                <w:szCs w:val="22"/>
              </w:rPr>
              <w:t>Canberra City/Ngunnawal Country</w:t>
            </w:r>
          </w:p>
        </w:tc>
        <w:tc>
          <w:tcPr>
            <w:tcW w:w="3402" w:type="dxa"/>
            <w:vMerge/>
            <w:tcBorders>
              <w:left w:val="single" w:sz="4" w:space="0" w:color="auto"/>
            </w:tcBorders>
          </w:tcPr>
          <w:p w14:paraId="111CEE3C" w14:textId="77777777" w:rsidR="00ED49CC" w:rsidRPr="000A4C00" w:rsidRDefault="00ED49CC" w:rsidP="00ED49CC">
            <w:pPr>
              <w:pStyle w:val="BodyText"/>
              <w:spacing w:before="60" w:after="60"/>
              <w:rPr>
                <w:rFonts w:cs="Calibri"/>
                <w:color w:val="000000" w:themeColor="text1"/>
                <w:sz w:val="22"/>
                <w:szCs w:val="22"/>
              </w:rPr>
            </w:pPr>
          </w:p>
        </w:tc>
      </w:tr>
      <w:tr w:rsidR="00ED49CC" w:rsidRPr="000A4C00" w14:paraId="24FCAD7D" w14:textId="77777777" w:rsidTr="00551E2F">
        <w:trPr>
          <w:trHeight w:val="397"/>
        </w:trPr>
        <w:tc>
          <w:tcPr>
            <w:tcW w:w="1926" w:type="dxa"/>
            <w:tcBorders>
              <w:top w:val="nil"/>
              <w:left w:val="nil"/>
              <w:bottom w:val="nil"/>
              <w:right w:val="nil"/>
            </w:tcBorders>
          </w:tcPr>
          <w:p w14:paraId="07DF37C7" w14:textId="77777777" w:rsidR="00ED49CC" w:rsidRPr="000A4C00" w:rsidRDefault="00ED49CC" w:rsidP="00ED49CC">
            <w:pPr>
              <w:pStyle w:val="BodyText"/>
              <w:spacing w:before="60" w:after="60"/>
              <w:jc w:val="both"/>
              <w:rPr>
                <w:rFonts w:cs="Calibri"/>
                <w:b/>
                <w:color w:val="000000" w:themeColor="text1"/>
                <w:sz w:val="22"/>
                <w:szCs w:val="22"/>
              </w:rPr>
            </w:pPr>
            <w:r w:rsidRPr="000A4C00">
              <w:rPr>
                <w:rFonts w:cs="Calibri"/>
                <w:b/>
                <w:color w:val="000000" w:themeColor="text1"/>
                <w:sz w:val="22"/>
                <w:szCs w:val="22"/>
              </w:rPr>
              <w:t>Last Reviewed</w:t>
            </w:r>
          </w:p>
        </w:tc>
        <w:tc>
          <w:tcPr>
            <w:tcW w:w="4453" w:type="dxa"/>
            <w:tcBorders>
              <w:top w:val="nil"/>
              <w:left w:val="nil"/>
              <w:bottom w:val="nil"/>
              <w:right w:val="single" w:sz="4" w:space="0" w:color="auto"/>
            </w:tcBorders>
          </w:tcPr>
          <w:p w14:paraId="196B82DF" w14:textId="6BB8E5CA" w:rsidR="00ED49CC" w:rsidRPr="000A4C00" w:rsidRDefault="00BC3B64" w:rsidP="00ED49CC">
            <w:pPr>
              <w:pStyle w:val="BodyText"/>
              <w:spacing w:before="60" w:after="60"/>
              <w:jc w:val="both"/>
              <w:rPr>
                <w:rFonts w:cs="Calibri"/>
                <w:color w:val="000000" w:themeColor="text1"/>
                <w:sz w:val="22"/>
                <w:szCs w:val="22"/>
              </w:rPr>
            </w:pPr>
            <w:r>
              <w:rPr>
                <w:rFonts w:cs="Calibri"/>
                <w:sz w:val="22"/>
                <w:szCs w:val="22"/>
              </w:rPr>
              <w:t>August</w:t>
            </w:r>
            <w:r w:rsidR="00ED49CC" w:rsidRPr="000A4C00">
              <w:rPr>
                <w:rFonts w:cs="Calibri"/>
                <w:sz w:val="22"/>
                <w:szCs w:val="22"/>
              </w:rPr>
              <w:t xml:space="preserve"> 2026</w:t>
            </w:r>
          </w:p>
        </w:tc>
        <w:tc>
          <w:tcPr>
            <w:tcW w:w="3402" w:type="dxa"/>
            <w:vMerge/>
            <w:tcBorders>
              <w:left w:val="single" w:sz="4" w:space="0" w:color="auto"/>
            </w:tcBorders>
          </w:tcPr>
          <w:p w14:paraId="4C88539E" w14:textId="77777777" w:rsidR="00ED49CC" w:rsidRPr="000A4C00" w:rsidRDefault="00ED49CC" w:rsidP="00ED49CC">
            <w:pPr>
              <w:pStyle w:val="BodyText"/>
              <w:spacing w:before="60" w:after="60"/>
              <w:jc w:val="both"/>
              <w:rPr>
                <w:rFonts w:cs="Calibri"/>
                <w:color w:val="000000" w:themeColor="text1"/>
                <w:sz w:val="22"/>
                <w:szCs w:val="22"/>
              </w:rPr>
            </w:pPr>
          </w:p>
        </w:tc>
      </w:tr>
    </w:tbl>
    <w:p w14:paraId="0C986D21" w14:textId="77777777" w:rsidR="00C60369" w:rsidRPr="000A4C00" w:rsidRDefault="00C60369" w:rsidP="00C60369">
      <w:pPr>
        <w:spacing w:after="0"/>
        <w:jc w:val="both"/>
        <w:rPr>
          <w:rFonts w:cs="Calibri"/>
          <w:color w:val="000000" w:themeColor="text1"/>
          <w:sz w:val="22"/>
          <w:szCs w:val="22"/>
        </w:rPr>
      </w:pPr>
      <w:bookmarkStart w:id="4" w:name="_Hlk156819688"/>
      <w:bookmarkStart w:id="5" w:name="_Hlk135823094"/>
      <w:bookmarkStart w:id="6" w:name="_Hlk189205329"/>
    </w:p>
    <w:p w14:paraId="4E9F40DC" w14:textId="77777777" w:rsidR="00C60369" w:rsidRPr="000A4C00" w:rsidRDefault="00C60369" w:rsidP="00C60369">
      <w:pPr>
        <w:spacing w:after="0"/>
        <w:jc w:val="both"/>
        <w:rPr>
          <w:rFonts w:cs="Calibri"/>
          <w:color w:val="000000" w:themeColor="text1"/>
          <w:sz w:val="22"/>
          <w:szCs w:val="22"/>
        </w:rPr>
      </w:pPr>
      <w:bookmarkStart w:id="7" w:name="_Hlk156819674"/>
      <w:r w:rsidRPr="000A4C00">
        <w:rPr>
          <w:rFonts w:cs="Calibri"/>
          <w:color w:val="000000" w:themeColor="text1"/>
          <w:sz w:val="22"/>
          <w:szCs w:val="22"/>
        </w:rPr>
        <w:t>The Australian Capital Territory Public Service (</w:t>
      </w:r>
      <w:r w:rsidRPr="000A4C00">
        <w:rPr>
          <w:rFonts w:cs="Calibri"/>
          <w:b/>
          <w:bCs/>
          <w:color w:val="000000" w:themeColor="text1"/>
          <w:sz w:val="22"/>
          <w:szCs w:val="22"/>
        </w:rPr>
        <w:t>ACTPS</w:t>
      </w:r>
      <w:r w:rsidRPr="000A4C00">
        <w:rPr>
          <w:rFonts w:cs="Calibri"/>
          <w:color w:val="000000" w:themeColor="text1"/>
          <w:sz w:val="22"/>
          <w:szCs w:val="22"/>
        </w:rPr>
        <w:t xml:space="preserve">) is a values-based organisation where all employees are expected to embody the prescribed core values of respect, integrity, collaboration and innovation as well as demonstrate the related signature behaviours.  </w:t>
      </w:r>
    </w:p>
    <w:p w14:paraId="4E8828C3" w14:textId="77777777" w:rsidR="00C60369" w:rsidRPr="000A4C00" w:rsidRDefault="00C60369" w:rsidP="00C60369">
      <w:pPr>
        <w:pStyle w:val="BodyText"/>
        <w:spacing w:after="0"/>
        <w:jc w:val="both"/>
        <w:rPr>
          <w:rFonts w:cs="Calibri"/>
          <w:color w:val="000000" w:themeColor="text1"/>
          <w:sz w:val="22"/>
          <w:szCs w:val="22"/>
        </w:rPr>
      </w:pPr>
    </w:p>
    <w:p w14:paraId="5890AFCF" w14:textId="77777777" w:rsidR="00C60369" w:rsidRPr="000A4C00" w:rsidRDefault="00C60369" w:rsidP="00C60369">
      <w:pPr>
        <w:pStyle w:val="BodyText"/>
        <w:spacing w:after="0"/>
        <w:jc w:val="both"/>
        <w:rPr>
          <w:rFonts w:cs="Calibri"/>
          <w:color w:val="000000" w:themeColor="text1"/>
          <w:sz w:val="22"/>
          <w:szCs w:val="22"/>
        </w:rPr>
      </w:pPr>
      <w:r w:rsidRPr="000A4C00">
        <w:rPr>
          <w:rFonts w:cs="Calibri"/>
          <w:color w:val="000000" w:themeColor="text1"/>
          <w:sz w:val="22"/>
          <w:szCs w:val="22"/>
        </w:rPr>
        <w:t xml:space="preserve">The ACTPS supports workforce diversity and is committed to creating an inclusive workplace. As part of this commitment, Aboriginal and Torres Strait Islander peoples, people with disability, culturally diverse people and those who identify as LGBTIQ are encouraged to apply.  </w:t>
      </w:r>
    </w:p>
    <w:p w14:paraId="41B5726A" w14:textId="77777777" w:rsidR="00C60369" w:rsidRPr="000A4C00" w:rsidRDefault="00C60369" w:rsidP="00C60369">
      <w:pPr>
        <w:pStyle w:val="BodyText"/>
        <w:spacing w:after="0"/>
        <w:jc w:val="both"/>
        <w:rPr>
          <w:rFonts w:cs="Calibri"/>
          <w:color w:val="000000" w:themeColor="text1"/>
          <w:sz w:val="22"/>
          <w:szCs w:val="22"/>
        </w:rPr>
      </w:pPr>
    </w:p>
    <w:p w14:paraId="68F31AA8" w14:textId="20C9D16B" w:rsidR="00C60369" w:rsidRPr="000A4C00" w:rsidRDefault="00C60369" w:rsidP="00C60369">
      <w:pPr>
        <w:pStyle w:val="BodyText"/>
        <w:spacing w:after="0"/>
        <w:jc w:val="both"/>
        <w:rPr>
          <w:rFonts w:cs="Calibri"/>
          <w:color w:val="000000" w:themeColor="text1"/>
          <w:sz w:val="22"/>
          <w:szCs w:val="22"/>
        </w:rPr>
      </w:pPr>
      <w:r w:rsidRPr="000A4C00">
        <w:rPr>
          <w:rFonts w:cs="Calibri"/>
          <w:color w:val="000000" w:themeColor="text1"/>
          <w:sz w:val="22"/>
          <w:szCs w:val="22"/>
        </w:rPr>
        <w:t xml:space="preserve">The ACTPS is committed to the principles of Reasonable Adjustment to ensure everyone has equitable employment opportunities. </w:t>
      </w:r>
    </w:p>
    <w:p w14:paraId="51528A2E" w14:textId="77777777" w:rsidR="00C60369" w:rsidRPr="000A4C00" w:rsidRDefault="00C60369" w:rsidP="00C60369">
      <w:pPr>
        <w:pStyle w:val="BodyText"/>
        <w:spacing w:after="0"/>
        <w:jc w:val="both"/>
        <w:rPr>
          <w:rFonts w:cs="Calibri"/>
          <w:color w:val="000000" w:themeColor="text1"/>
          <w:sz w:val="22"/>
          <w:szCs w:val="22"/>
        </w:rPr>
      </w:pPr>
    </w:p>
    <w:bookmarkEnd w:id="4"/>
    <w:bookmarkEnd w:id="7"/>
    <w:p w14:paraId="668BD6CF" w14:textId="77777777" w:rsidR="00C60369" w:rsidRPr="000A4C00" w:rsidRDefault="00C60369" w:rsidP="00C60369">
      <w:pPr>
        <w:pStyle w:val="Heading1"/>
        <w:jc w:val="both"/>
        <w:rPr>
          <w:rFonts w:cs="Calibri"/>
          <w:sz w:val="32"/>
        </w:rPr>
      </w:pPr>
      <w:r w:rsidRPr="000A4C00">
        <w:rPr>
          <w:rFonts w:cs="Calibri"/>
          <w:sz w:val="32"/>
        </w:rPr>
        <w:t>DIRECTORATE OVERVIEW</w:t>
      </w:r>
    </w:p>
    <w:p w14:paraId="1DBCA3B6" w14:textId="77777777" w:rsidR="00C60369" w:rsidRPr="000A4C00" w:rsidRDefault="00C60369" w:rsidP="00C60369">
      <w:pPr>
        <w:spacing w:after="0"/>
        <w:rPr>
          <w:rFonts w:cs="Calibri"/>
          <w:sz w:val="22"/>
          <w:szCs w:val="22"/>
        </w:rPr>
      </w:pPr>
      <w:bookmarkStart w:id="8" w:name="_Hlk161389039"/>
      <w:bookmarkStart w:id="9" w:name="_Hlk183416602"/>
      <w:r w:rsidRPr="000A4C00">
        <w:rPr>
          <w:rFonts w:cs="Calibri"/>
          <w:sz w:val="22"/>
          <w:szCs w:val="22"/>
        </w:rPr>
        <w:t>The Justice and Community Safety Directorate (the Directorate) seeks to maintain a safe, just and resilient and inclusive community.</w:t>
      </w:r>
    </w:p>
    <w:p w14:paraId="68E12ECB" w14:textId="77777777" w:rsidR="00C60369" w:rsidRPr="000A4C00" w:rsidRDefault="00C60369" w:rsidP="00C60369">
      <w:pPr>
        <w:spacing w:after="0"/>
        <w:rPr>
          <w:rFonts w:cs="Calibri"/>
          <w:sz w:val="22"/>
          <w:szCs w:val="22"/>
        </w:rPr>
      </w:pPr>
    </w:p>
    <w:p w14:paraId="21CD0BFF" w14:textId="77777777" w:rsidR="00C60369" w:rsidRPr="000A4C00" w:rsidRDefault="00C60369" w:rsidP="00C60369">
      <w:pPr>
        <w:rPr>
          <w:rFonts w:cs="Calibri"/>
          <w:sz w:val="22"/>
          <w:szCs w:val="22"/>
        </w:rPr>
      </w:pPr>
      <w:r w:rsidRPr="000A4C00">
        <w:rPr>
          <w:rFonts w:cs="Calibri"/>
          <w:sz w:val="22"/>
          <w:szCs w:val="22"/>
        </w:rPr>
        <w:t>Our purpose is to continuously improve the wellbeing of our community by delivering responsive justice and community safety services that:</w:t>
      </w:r>
    </w:p>
    <w:p w14:paraId="5251FED7"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Maintain the rule of law and supports a democratic society</w:t>
      </w:r>
    </w:p>
    <w:p w14:paraId="2EAA69B4"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Strengthens community safety;</w:t>
      </w:r>
    </w:p>
    <w:p w14:paraId="5AA5F1EF"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Protects people’s legal and human rights and interests;</w:t>
      </w:r>
    </w:p>
    <w:p w14:paraId="2B3F4BF8"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Cares for and supporting people who are at a higher risk of vulnerability;</w:t>
      </w:r>
    </w:p>
    <w:p w14:paraId="36524362"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 xml:space="preserve">Enhances timely access to justice; </w:t>
      </w:r>
    </w:p>
    <w:p w14:paraId="0CEFDBB9"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Builds community and business resilience to emergencies and disasters/disruptions; and</w:t>
      </w:r>
    </w:p>
    <w:p w14:paraId="68CD08DE" w14:textId="77777777" w:rsidR="00C60369" w:rsidRPr="000A4C00" w:rsidRDefault="00C60369" w:rsidP="00C60369">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Supports formal partnerships and shared decision making with First Nations Peoples.</w:t>
      </w:r>
    </w:p>
    <w:p w14:paraId="1CDA237D" w14:textId="77777777" w:rsidR="00C60369" w:rsidRPr="000A4C00" w:rsidRDefault="00C60369" w:rsidP="00C60369">
      <w:pPr>
        <w:spacing w:after="0"/>
        <w:rPr>
          <w:rFonts w:cs="Calibri"/>
          <w:sz w:val="22"/>
          <w:szCs w:val="22"/>
        </w:rPr>
      </w:pPr>
    </w:p>
    <w:p w14:paraId="77902908" w14:textId="77777777" w:rsidR="00C60369" w:rsidRPr="000A4C00" w:rsidRDefault="00C60369" w:rsidP="00C60369">
      <w:pPr>
        <w:spacing w:after="0"/>
        <w:rPr>
          <w:rFonts w:cs="Calibri"/>
          <w:sz w:val="22"/>
          <w:szCs w:val="22"/>
        </w:rPr>
      </w:pPr>
      <w:r w:rsidRPr="000A4C00">
        <w:rPr>
          <w:rFonts w:cs="Calibri"/>
          <w:sz w:val="22"/>
          <w:szCs w:val="22"/>
        </w:rPr>
        <w:t>We will invest in the capability of our people, and we will support them to deliver innovative and sustainable services for our ACT Community.</w:t>
      </w:r>
    </w:p>
    <w:p w14:paraId="708301B4" w14:textId="77777777" w:rsidR="00C60369" w:rsidRPr="000A4C00" w:rsidRDefault="00C60369" w:rsidP="00C60369">
      <w:pPr>
        <w:pStyle w:val="BodyText"/>
        <w:spacing w:after="0"/>
        <w:rPr>
          <w:rFonts w:cs="Calibri"/>
          <w:sz w:val="22"/>
          <w:szCs w:val="22"/>
        </w:rPr>
      </w:pPr>
    </w:p>
    <w:p w14:paraId="6CE54282" w14:textId="77777777" w:rsidR="00C60369" w:rsidRPr="000A4C00" w:rsidRDefault="00C60369" w:rsidP="00C60369">
      <w:pPr>
        <w:pStyle w:val="BodyText"/>
        <w:spacing w:after="0"/>
        <w:rPr>
          <w:rFonts w:cs="Calibri"/>
          <w:sz w:val="22"/>
          <w:szCs w:val="22"/>
        </w:rPr>
      </w:pPr>
      <w:r w:rsidRPr="000A4C00">
        <w:rPr>
          <w:rFonts w:cs="Calibri"/>
          <w:sz w:val="22"/>
          <w:szCs w:val="22"/>
        </w:rPr>
        <w:t>We will do this by demonstrating strong public sector values and behaviours; we will be community minded; legal and human rights focussed; inclusive and diverse; passionate about our work and we will listen to and genuinely engage with our stakeholders.</w:t>
      </w:r>
    </w:p>
    <w:bookmarkEnd w:id="8"/>
    <w:p w14:paraId="323579A0" w14:textId="77777777" w:rsidR="00C60369" w:rsidRPr="000A4C00" w:rsidRDefault="00C60369" w:rsidP="00C60369">
      <w:pPr>
        <w:pStyle w:val="BodyText"/>
        <w:spacing w:after="0"/>
        <w:jc w:val="both"/>
        <w:rPr>
          <w:rFonts w:cs="Calibri"/>
          <w:sz w:val="22"/>
          <w:szCs w:val="22"/>
        </w:rPr>
      </w:pPr>
    </w:p>
    <w:p w14:paraId="4887C777" w14:textId="77777777" w:rsidR="00C60369" w:rsidRPr="000A4C00" w:rsidRDefault="00C60369" w:rsidP="00C60369">
      <w:pPr>
        <w:jc w:val="both"/>
        <w:rPr>
          <w:rFonts w:cs="Calibri"/>
          <w:sz w:val="22"/>
          <w:szCs w:val="22"/>
        </w:rPr>
      </w:pPr>
      <w:bookmarkStart w:id="10" w:name="_Hlk164237465"/>
      <w:r w:rsidRPr="000A4C00">
        <w:rPr>
          <w:rFonts w:cs="Calibri"/>
          <w:sz w:val="22"/>
          <w:szCs w:val="22"/>
        </w:rPr>
        <w:t>The Directorate advises and supports the following ministerial portfolios: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C60369" w:rsidRPr="000A4C00" w14:paraId="1044D9CD" w14:textId="77777777" w:rsidTr="00551E2F">
        <w:tc>
          <w:tcPr>
            <w:tcW w:w="4536" w:type="dxa"/>
          </w:tcPr>
          <w:p w14:paraId="1BFBFFFE"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Chief Minister</w:t>
            </w:r>
          </w:p>
          <w:p w14:paraId="2D986BFF"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Attorney-General</w:t>
            </w:r>
          </w:p>
          <w:p w14:paraId="4B73DC5E"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Manager of Government Business</w:t>
            </w:r>
          </w:p>
          <w:p w14:paraId="36D9EDF9"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Minister for Gaming Reform</w:t>
            </w:r>
          </w:p>
          <w:p w14:paraId="618B2B8B"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Minister for City and Government Services</w:t>
            </w:r>
          </w:p>
          <w:p w14:paraId="33125547"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Minister for Night-Time Economy</w:t>
            </w:r>
          </w:p>
        </w:tc>
        <w:tc>
          <w:tcPr>
            <w:tcW w:w="5092" w:type="dxa"/>
          </w:tcPr>
          <w:p w14:paraId="615E6034"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 xml:space="preserve">Minister for Police, Fire and Emergency Services </w:t>
            </w:r>
          </w:p>
          <w:p w14:paraId="7C9D9BCE"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 xml:space="preserve">Minister for Corrections </w:t>
            </w:r>
          </w:p>
          <w:p w14:paraId="456F23C6"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 xml:space="preserve">Minister for Women </w:t>
            </w:r>
          </w:p>
          <w:p w14:paraId="53BC392C"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 xml:space="preserve">Minister for Prevention of Family and Domestic Violence </w:t>
            </w:r>
          </w:p>
          <w:p w14:paraId="76EA2971" w14:textId="77777777" w:rsidR="00C60369" w:rsidRPr="000A4C00" w:rsidRDefault="00C60369" w:rsidP="00C60369">
            <w:pPr>
              <w:pStyle w:val="ListParagraph"/>
              <w:numPr>
                <w:ilvl w:val="0"/>
                <w:numId w:val="10"/>
              </w:numPr>
              <w:spacing w:before="60" w:after="0"/>
              <w:ind w:left="567" w:hanging="425"/>
              <w:contextualSpacing w:val="0"/>
              <w:rPr>
                <w:rFonts w:cs="Calibri"/>
                <w:sz w:val="22"/>
                <w:szCs w:val="22"/>
              </w:rPr>
            </w:pPr>
            <w:r w:rsidRPr="000A4C00">
              <w:rPr>
                <w:rFonts w:cs="Calibri"/>
                <w:sz w:val="22"/>
                <w:szCs w:val="22"/>
              </w:rPr>
              <w:t>Minister for Human Rights</w:t>
            </w:r>
          </w:p>
        </w:tc>
      </w:tr>
    </w:tbl>
    <w:p w14:paraId="3C6449CA" w14:textId="77777777" w:rsidR="00C60369" w:rsidRPr="000A4C00" w:rsidRDefault="00C60369" w:rsidP="00C60369">
      <w:pPr>
        <w:spacing w:after="0"/>
        <w:jc w:val="both"/>
        <w:rPr>
          <w:rFonts w:cs="Calibri"/>
          <w:sz w:val="22"/>
          <w:szCs w:val="22"/>
        </w:rPr>
      </w:pPr>
    </w:p>
    <w:bookmarkEnd w:id="9"/>
    <w:bookmarkEnd w:id="10"/>
    <w:p w14:paraId="6E6FACB0" w14:textId="77777777" w:rsidR="00C60369" w:rsidRPr="000A4C00" w:rsidRDefault="00C60369" w:rsidP="00C60369">
      <w:pPr>
        <w:pStyle w:val="Heading1"/>
        <w:jc w:val="both"/>
        <w:rPr>
          <w:rFonts w:cs="Calibri"/>
          <w:sz w:val="32"/>
        </w:rPr>
      </w:pPr>
      <w:r w:rsidRPr="000A4C00">
        <w:rPr>
          <w:rFonts w:cs="Calibri"/>
          <w:sz w:val="32"/>
        </w:rPr>
        <w:t>BUSINESS UNIT OVERVIEW</w:t>
      </w:r>
    </w:p>
    <w:p w14:paraId="004BCE3E" w14:textId="77777777" w:rsidR="00372B86" w:rsidRPr="000A4C00" w:rsidRDefault="00372B86" w:rsidP="00372B86">
      <w:pPr>
        <w:autoSpaceDE w:val="0"/>
        <w:autoSpaceDN w:val="0"/>
        <w:adjustRightInd w:val="0"/>
        <w:spacing w:after="0"/>
        <w:ind w:right="118"/>
        <w:jc w:val="both"/>
        <w:rPr>
          <w:rFonts w:cs="Calibri"/>
          <w:sz w:val="22"/>
          <w:szCs w:val="22"/>
        </w:rPr>
      </w:pPr>
      <w:bookmarkStart w:id="11" w:name="_Hlk202340307"/>
      <w:bookmarkStart w:id="12" w:name="_Hlk137105288"/>
      <w:bookmarkEnd w:id="5"/>
      <w:bookmarkEnd w:id="6"/>
      <w:r w:rsidRPr="000A4C00">
        <w:rPr>
          <w:rFonts w:cs="Calibri"/>
          <w:sz w:val="22"/>
          <w:szCs w:val="22"/>
        </w:rPr>
        <w:t>The ACT Courts and Tribunal (</w:t>
      </w:r>
      <w:r w:rsidRPr="000A4C00">
        <w:rPr>
          <w:rFonts w:cs="Calibri"/>
          <w:b/>
          <w:bCs/>
          <w:sz w:val="22"/>
          <w:szCs w:val="22"/>
        </w:rPr>
        <w:t>ACTCT</w:t>
      </w:r>
      <w:r w:rsidRPr="000A4C00">
        <w:rPr>
          <w:rFonts w:cs="Calibri"/>
          <w:sz w:val="22"/>
          <w:szCs w:val="22"/>
        </w:rPr>
        <w:t>) supports the proper administration of justice by providing high quality support to judicial officers and tribunal members and high-quality services to those using the courts and tribunal. It provides the Supreme Court, Magistrates Court and ACT Civil and Administrative Tribunal (</w:t>
      </w:r>
      <w:r w:rsidRPr="000A4C00">
        <w:rPr>
          <w:rFonts w:cs="Calibri"/>
          <w:b/>
          <w:bCs/>
          <w:sz w:val="22"/>
          <w:szCs w:val="22"/>
        </w:rPr>
        <w:t>ACAT</w:t>
      </w:r>
      <w:r w:rsidRPr="000A4C00">
        <w:rPr>
          <w:rFonts w:cs="Calibri"/>
          <w:sz w:val="22"/>
          <w:szCs w:val="22"/>
        </w:rPr>
        <w:t xml:space="preserve">) with registry, court support, forensic, corporate and strategic services.  </w:t>
      </w:r>
    </w:p>
    <w:p w14:paraId="7733C383" w14:textId="77777777" w:rsidR="00372B86" w:rsidRPr="000A4C00" w:rsidRDefault="00372B86" w:rsidP="00372B86">
      <w:pPr>
        <w:autoSpaceDE w:val="0"/>
        <w:autoSpaceDN w:val="0"/>
        <w:adjustRightInd w:val="0"/>
        <w:spacing w:after="0"/>
        <w:ind w:right="118"/>
        <w:jc w:val="both"/>
        <w:rPr>
          <w:rFonts w:cs="Calibri"/>
          <w:sz w:val="22"/>
          <w:szCs w:val="22"/>
        </w:rPr>
      </w:pPr>
    </w:p>
    <w:p w14:paraId="17E07221" w14:textId="77777777" w:rsidR="00372B86" w:rsidRPr="000A4C00" w:rsidRDefault="00372B86" w:rsidP="00372B86">
      <w:pPr>
        <w:jc w:val="both"/>
        <w:rPr>
          <w:rFonts w:cs="Calibri"/>
          <w:sz w:val="22"/>
          <w:szCs w:val="22"/>
        </w:rPr>
      </w:pPr>
      <w:r w:rsidRPr="000A4C00">
        <w:rPr>
          <w:rFonts w:cs="Calibri"/>
          <w:sz w:val="22"/>
          <w:szCs w:val="22"/>
        </w:rPr>
        <w:t xml:space="preserve">The ACTCT is led by the Chief Executive Officer (CEO) appointed under the </w:t>
      </w:r>
      <w:r w:rsidRPr="000A4C00">
        <w:rPr>
          <w:rFonts w:cs="Calibri"/>
          <w:i/>
          <w:iCs/>
          <w:sz w:val="22"/>
          <w:szCs w:val="22"/>
        </w:rPr>
        <w:t>Court Procedures Act 2004</w:t>
      </w:r>
      <w:r w:rsidRPr="000A4C00">
        <w:rPr>
          <w:rFonts w:cs="Calibri"/>
          <w:sz w:val="22"/>
          <w:szCs w:val="22"/>
        </w:rPr>
        <w:t xml:space="preserve"> and has the following branches:</w:t>
      </w:r>
    </w:p>
    <w:p w14:paraId="18870F51" w14:textId="77777777" w:rsidR="00372B86" w:rsidRPr="000A4C00" w:rsidRDefault="00372B86" w:rsidP="00372B86">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Executive</w:t>
      </w:r>
    </w:p>
    <w:p w14:paraId="10635A2A" w14:textId="77777777" w:rsidR="00372B86" w:rsidRPr="000A4C00" w:rsidRDefault="00372B86" w:rsidP="00372B86">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Registrar’s Office Supreme Court which includes Supreme Court Registry Operations and Sheriff’s Office</w:t>
      </w:r>
    </w:p>
    <w:p w14:paraId="4E86B887" w14:textId="77777777" w:rsidR="00372B86" w:rsidRPr="000A4C00" w:rsidRDefault="00372B86" w:rsidP="00372B86">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Registrar’s Office Magistrates Court which includes Magistrates Court Registry Operations and the Forensic Medicine Centre</w:t>
      </w:r>
    </w:p>
    <w:p w14:paraId="2161E085" w14:textId="77777777" w:rsidR="00372B86" w:rsidRPr="000A4C00" w:rsidRDefault="00372B86" w:rsidP="00372B86">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 xml:space="preserve">Registrar’s Office ACAT which includes ACAT Registry Operations </w:t>
      </w:r>
    </w:p>
    <w:p w14:paraId="42EF211D" w14:textId="77777777" w:rsidR="00372B86" w:rsidRPr="000A4C00" w:rsidRDefault="00372B86" w:rsidP="00372B86">
      <w:pPr>
        <w:pStyle w:val="ListParagraph"/>
        <w:numPr>
          <w:ilvl w:val="0"/>
          <w:numId w:val="10"/>
        </w:numPr>
        <w:spacing w:before="60" w:after="0"/>
        <w:ind w:left="567" w:hanging="425"/>
        <w:contextualSpacing w:val="0"/>
        <w:jc w:val="both"/>
        <w:rPr>
          <w:rFonts w:cs="Calibri"/>
          <w:sz w:val="22"/>
          <w:szCs w:val="22"/>
        </w:rPr>
      </w:pPr>
      <w:r w:rsidRPr="000A4C00">
        <w:rPr>
          <w:rFonts w:cs="Calibri"/>
          <w:sz w:val="22"/>
          <w:szCs w:val="22"/>
        </w:rPr>
        <w:t>Corporate and Strategic Services.</w:t>
      </w:r>
    </w:p>
    <w:p w14:paraId="6AD6245C" w14:textId="77777777" w:rsidR="00372B86" w:rsidRPr="000A4C00" w:rsidRDefault="00372B86" w:rsidP="00372B86">
      <w:pPr>
        <w:adjustRightInd w:val="0"/>
        <w:spacing w:after="0"/>
        <w:jc w:val="both"/>
        <w:rPr>
          <w:rFonts w:cs="Calibri"/>
          <w:color w:val="000000" w:themeColor="text1"/>
          <w:sz w:val="22"/>
          <w:szCs w:val="22"/>
        </w:rPr>
      </w:pPr>
    </w:p>
    <w:p w14:paraId="343DBA8F" w14:textId="77777777" w:rsidR="00372B86" w:rsidRPr="000A4C00" w:rsidRDefault="00372B86" w:rsidP="00372B86">
      <w:pPr>
        <w:pStyle w:val="BodyText"/>
        <w:spacing w:after="0"/>
        <w:jc w:val="both"/>
        <w:rPr>
          <w:rFonts w:cs="Calibri"/>
          <w:sz w:val="22"/>
          <w:szCs w:val="22"/>
        </w:rPr>
      </w:pPr>
      <w:bookmarkStart w:id="13" w:name="_Hlk164237197"/>
      <w:r w:rsidRPr="000A4C00">
        <w:rPr>
          <w:rFonts w:cs="Calibri"/>
          <w:b/>
          <w:sz w:val="22"/>
          <w:szCs w:val="22"/>
        </w:rPr>
        <w:t>NOTE:</w:t>
      </w:r>
      <w:r w:rsidRPr="000A4C00">
        <w:rPr>
          <w:rFonts w:cs="Calibri"/>
          <w:sz w:val="22"/>
          <w:szCs w:val="22"/>
        </w:rPr>
        <w:t xml:space="preserve"> The nature of the organisation is such that staff may be exposed to occupational violence, vicarious trauma, sensitive material or information that may be confronting and culturally sensitive.  ACTCT provides support services and training to assist staff in being culturally aware, resilient and safe in the workplace.  </w:t>
      </w:r>
    </w:p>
    <w:bookmarkEnd w:id="13"/>
    <w:p w14:paraId="3F2AD166" w14:textId="77777777" w:rsidR="00372B86" w:rsidRPr="000A4C00" w:rsidRDefault="00372B86" w:rsidP="00372B86">
      <w:pPr>
        <w:suppressAutoHyphens w:val="0"/>
        <w:spacing w:after="0"/>
        <w:ind w:right="119"/>
        <w:jc w:val="both"/>
        <w:rPr>
          <w:rFonts w:cs="Calibri"/>
          <w:color w:val="000000" w:themeColor="text1"/>
          <w:sz w:val="22"/>
          <w:szCs w:val="22"/>
        </w:rPr>
      </w:pPr>
    </w:p>
    <w:p w14:paraId="4C0579C0" w14:textId="77777777" w:rsidR="00C60369" w:rsidRPr="000A4C00" w:rsidRDefault="00C60369" w:rsidP="00C60369">
      <w:pPr>
        <w:pStyle w:val="Heading1"/>
        <w:jc w:val="both"/>
        <w:rPr>
          <w:rFonts w:cs="Calibri"/>
          <w:sz w:val="32"/>
        </w:rPr>
      </w:pPr>
      <w:r w:rsidRPr="000A4C00">
        <w:rPr>
          <w:rFonts w:cs="Calibri"/>
          <w:sz w:val="32"/>
        </w:rPr>
        <w:t>BRANCH OVERVIEW</w:t>
      </w:r>
    </w:p>
    <w:bookmarkEnd w:id="11"/>
    <w:p w14:paraId="1EBD85FD" w14:textId="77777777" w:rsidR="00ED49CC" w:rsidRPr="000A4C00" w:rsidRDefault="00ED49CC" w:rsidP="00ED49CC">
      <w:pPr>
        <w:spacing w:after="0"/>
        <w:jc w:val="both"/>
        <w:rPr>
          <w:rFonts w:cs="Calibri"/>
          <w:color w:val="000000" w:themeColor="text1"/>
          <w:sz w:val="22"/>
          <w:szCs w:val="22"/>
        </w:rPr>
      </w:pPr>
      <w:r w:rsidRPr="000A4C00">
        <w:rPr>
          <w:rFonts w:cs="Calibri"/>
          <w:color w:val="000000" w:themeColor="text1"/>
          <w:sz w:val="22"/>
          <w:szCs w:val="22"/>
        </w:rPr>
        <w:t>The Corporate and Strategic Services branch is responsible for delivering a range of corporate and strategic services that support the operations of each Court and ACAT.</w:t>
      </w:r>
    </w:p>
    <w:p w14:paraId="67CA0A2F" w14:textId="77777777" w:rsidR="00ED49CC" w:rsidRPr="000A4C00" w:rsidRDefault="00ED49CC" w:rsidP="00ED49CC">
      <w:pPr>
        <w:spacing w:after="0"/>
        <w:jc w:val="both"/>
        <w:rPr>
          <w:rFonts w:cs="Calibri"/>
          <w:color w:val="000000" w:themeColor="text1"/>
          <w:sz w:val="22"/>
          <w:szCs w:val="22"/>
        </w:rPr>
      </w:pPr>
    </w:p>
    <w:p w14:paraId="4CF58DA8" w14:textId="77777777" w:rsidR="00ED49CC" w:rsidRPr="000A4C00" w:rsidRDefault="00ED49CC" w:rsidP="00ED49CC">
      <w:pPr>
        <w:jc w:val="both"/>
        <w:rPr>
          <w:rFonts w:cs="Calibri"/>
          <w:color w:val="000000" w:themeColor="text1"/>
          <w:sz w:val="22"/>
          <w:szCs w:val="22"/>
        </w:rPr>
      </w:pPr>
      <w:r w:rsidRPr="000A4C00">
        <w:rPr>
          <w:rFonts w:cs="Calibri"/>
          <w:color w:val="000000" w:themeColor="text1"/>
          <w:sz w:val="22"/>
          <w:szCs w:val="22"/>
        </w:rPr>
        <w:t>Corporate and Strategic Services consists of the following areas:</w:t>
      </w:r>
    </w:p>
    <w:p w14:paraId="0348450B" w14:textId="77777777" w:rsidR="00ED49CC" w:rsidRDefault="00ED49CC" w:rsidP="00ED49CC">
      <w:pPr>
        <w:pStyle w:val="ListParagraph"/>
        <w:numPr>
          <w:ilvl w:val="0"/>
          <w:numId w:val="7"/>
        </w:numPr>
        <w:spacing w:before="60" w:after="0"/>
        <w:ind w:left="567" w:hanging="425"/>
        <w:contextualSpacing w:val="0"/>
        <w:jc w:val="both"/>
        <w:rPr>
          <w:rFonts w:cs="Calibri"/>
          <w:sz w:val="22"/>
          <w:szCs w:val="22"/>
        </w:rPr>
      </w:pPr>
      <w:r w:rsidRPr="000A4C00">
        <w:rPr>
          <w:rFonts w:cs="Calibri"/>
          <w:sz w:val="22"/>
          <w:szCs w:val="22"/>
        </w:rPr>
        <w:t>Corporate Information Systems</w:t>
      </w:r>
    </w:p>
    <w:p w14:paraId="26F4CB0B" w14:textId="7420A09E" w:rsidR="00295A38" w:rsidRPr="000A4C00" w:rsidRDefault="00295A38" w:rsidP="00ED49CC">
      <w:pPr>
        <w:pStyle w:val="ListParagraph"/>
        <w:numPr>
          <w:ilvl w:val="0"/>
          <w:numId w:val="7"/>
        </w:numPr>
        <w:spacing w:before="60" w:after="0"/>
        <w:ind w:left="567" w:hanging="425"/>
        <w:contextualSpacing w:val="0"/>
        <w:jc w:val="both"/>
        <w:rPr>
          <w:rFonts w:cs="Calibri"/>
          <w:sz w:val="22"/>
          <w:szCs w:val="22"/>
        </w:rPr>
      </w:pPr>
      <w:r>
        <w:rPr>
          <w:rFonts w:cs="Calibri"/>
          <w:sz w:val="22"/>
          <w:szCs w:val="22"/>
        </w:rPr>
        <w:t>Digital Transformation and Reform</w:t>
      </w:r>
    </w:p>
    <w:p w14:paraId="068D76C4" w14:textId="77777777" w:rsidR="00ED49CC" w:rsidRPr="000A4C00" w:rsidRDefault="00ED49CC" w:rsidP="00ED49CC">
      <w:pPr>
        <w:pStyle w:val="ListParagraph"/>
        <w:numPr>
          <w:ilvl w:val="0"/>
          <w:numId w:val="7"/>
        </w:numPr>
        <w:spacing w:before="60" w:after="0"/>
        <w:ind w:left="567" w:hanging="425"/>
        <w:contextualSpacing w:val="0"/>
        <w:jc w:val="both"/>
        <w:rPr>
          <w:rFonts w:cs="Calibri"/>
          <w:sz w:val="22"/>
          <w:szCs w:val="22"/>
        </w:rPr>
      </w:pPr>
      <w:r w:rsidRPr="000A4C00">
        <w:rPr>
          <w:rFonts w:cs="Calibri"/>
          <w:sz w:val="22"/>
          <w:szCs w:val="22"/>
        </w:rPr>
        <w:t>Finance</w:t>
      </w:r>
    </w:p>
    <w:p w14:paraId="7C11E06B" w14:textId="77777777" w:rsidR="00ED49CC" w:rsidRPr="000A4C00" w:rsidRDefault="00ED49CC" w:rsidP="00ED49CC">
      <w:pPr>
        <w:pStyle w:val="ListParagraph"/>
        <w:numPr>
          <w:ilvl w:val="0"/>
          <w:numId w:val="7"/>
        </w:numPr>
        <w:spacing w:before="60" w:after="0"/>
        <w:ind w:left="567" w:hanging="425"/>
        <w:contextualSpacing w:val="0"/>
        <w:jc w:val="both"/>
        <w:rPr>
          <w:rFonts w:cs="Calibri"/>
          <w:sz w:val="22"/>
          <w:szCs w:val="22"/>
        </w:rPr>
      </w:pPr>
      <w:r w:rsidRPr="000A4C00">
        <w:rPr>
          <w:rFonts w:cs="Calibri"/>
          <w:sz w:val="22"/>
          <w:szCs w:val="22"/>
        </w:rPr>
        <w:t>People and Governance</w:t>
      </w:r>
    </w:p>
    <w:p w14:paraId="54DB67F0" w14:textId="77777777" w:rsidR="00ED49CC" w:rsidRPr="000A4C00" w:rsidRDefault="00ED49CC" w:rsidP="00ED49CC">
      <w:pPr>
        <w:pStyle w:val="ListParagraph"/>
        <w:numPr>
          <w:ilvl w:val="0"/>
          <w:numId w:val="7"/>
        </w:numPr>
        <w:spacing w:before="60" w:after="0"/>
        <w:ind w:left="567" w:hanging="425"/>
        <w:contextualSpacing w:val="0"/>
        <w:jc w:val="both"/>
        <w:rPr>
          <w:rFonts w:cs="Calibri"/>
          <w:sz w:val="22"/>
          <w:szCs w:val="22"/>
        </w:rPr>
      </w:pPr>
      <w:r w:rsidRPr="000A4C00">
        <w:rPr>
          <w:rFonts w:cs="Calibri"/>
          <w:sz w:val="22"/>
          <w:szCs w:val="22"/>
        </w:rPr>
        <w:t>Property and Procurement</w:t>
      </w:r>
    </w:p>
    <w:p w14:paraId="002F55A8" w14:textId="77777777" w:rsidR="00ED49CC" w:rsidRPr="000A4C00" w:rsidRDefault="00ED49CC" w:rsidP="00ED49CC">
      <w:pPr>
        <w:pStyle w:val="ListParagraph"/>
        <w:numPr>
          <w:ilvl w:val="0"/>
          <w:numId w:val="7"/>
        </w:numPr>
        <w:spacing w:before="60" w:after="0"/>
        <w:ind w:left="567" w:hanging="425"/>
        <w:contextualSpacing w:val="0"/>
        <w:jc w:val="both"/>
        <w:rPr>
          <w:rFonts w:cs="Calibri"/>
          <w:sz w:val="22"/>
          <w:szCs w:val="22"/>
        </w:rPr>
      </w:pPr>
      <w:r w:rsidRPr="000A4C00">
        <w:rPr>
          <w:rFonts w:cs="Calibri"/>
          <w:sz w:val="22"/>
          <w:szCs w:val="22"/>
        </w:rPr>
        <w:t>Therapeutic and Client Services</w:t>
      </w:r>
    </w:p>
    <w:p w14:paraId="32F5BDFD" w14:textId="77777777" w:rsidR="00ED49CC" w:rsidRPr="000A4C00" w:rsidRDefault="00ED49CC" w:rsidP="00ED49CC">
      <w:pPr>
        <w:autoSpaceDE w:val="0"/>
        <w:autoSpaceDN w:val="0"/>
        <w:adjustRightInd w:val="0"/>
        <w:spacing w:after="0"/>
        <w:ind w:right="118"/>
        <w:jc w:val="both"/>
        <w:rPr>
          <w:rFonts w:cs="Calibri"/>
          <w:sz w:val="22"/>
          <w:szCs w:val="22"/>
        </w:rPr>
      </w:pPr>
    </w:p>
    <w:p w14:paraId="18864FFB" w14:textId="77777777" w:rsidR="00ED49CC" w:rsidRPr="000A4C00" w:rsidRDefault="00ED49CC" w:rsidP="00ED49CC">
      <w:pPr>
        <w:rPr>
          <w:rFonts w:cs="Calibri"/>
          <w:sz w:val="22"/>
          <w:szCs w:val="22"/>
        </w:rPr>
      </w:pPr>
      <w:r w:rsidRPr="000A4C00">
        <w:rPr>
          <w:rFonts w:cs="Calibri"/>
          <w:sz w:val="22"/>
          <w:szCs w:val="22"/>
        </w:rPr>
        <w:t>The services delivered include:</w:t>
      </w:r>
    </w:p>
    <w:p w14:paraId="73B71377"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Financial and budget management</w:t>
      </w:r>
    </w:p>
    <w:p w14:paraId="5172C0C7"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Preparation of high-level budget bids</w:t>
      </w:r>
    </w:p>
    <w:p w14:paraId="3A5A7892"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Statistical analysis and business reporting</w:t>
      </w:r>
    </w:p>
    <w:p w14:paraId="3BD0508E"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Accountability and agency performance reporting</w:t>
      </w:r>
    </w:p>
    <w:p w14:paraId="41AF376B"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Internal communication and consultive arrangements</w:t>
      </w:r>
    </w:p>
    <w:p w14:paraId="79EDE9EC"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Organisational governance and administrative support</w:t>
      </w:r>
    </w:p>
    <w:p w14:paraId="3733EBB6"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Organisation human resources and administrative support</w:t>
      </w:r>
    </w:p>
    <w:p w14:paraId="5DE66B06"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Risk and compliance, development, and implementation activities</w:t>
      </w:r>
    </w:p>
    <w:p w14:paraId="6BA4B113"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Facility and asset management</w:t>
      </w:r>
    </w:p>
    <w:p w14:paraId="282A1553"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Procurement and contracts management</w:t>
      </w:r>
    </w:p>
    <w:p w14:paraId="7180C886"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Leadership in organisational planning</w:t>
      </w:r>
    </w:p>
    <w:p w14:paraId="74999F6F" w14:textId="77777777" w:rsidR="00ED49CC" w:rsidRPr="000A4C00" w:rsidRDefault="00ED49CC" w:rsidP="00ED49CC">
      <w:pPr>
        <w:pStyle w:val="ListParagraph"/>
        <w:numPr>
          <w:ilvl w:val="1"/>
          <w:numId w:val="10"/>
        </w:numPr>
        <w:spacing w:before="120" w:after="0"/>
        <w:ind w:left="1134" w:hanging="425"/>
        <w:contextualSpacing w:val="0"/>
        <w:jc w:val="both"/>
        <w:rPr>
          <w:rFonts w:cs="Calibri"/>
          <w:sz w:val="22"/>
          <w:szCs w:val="22"/>
        </w:rPr>
      </w:pPr>
      <w:r w:rsidRPr="000A4C00">
        <w:rPr>
          <w:rFonts w:cs="Calibri"/>
          <w:sz w:val="22"/>
          <w:szCs w:val="22"/>
        </w:rPr>
        <w:t>Resource planning aligned with strategic goals</w:t>
      </w:r>
    </w:p>
    <w:p w14:paraId="44864EC0" w14:textId="77777777" w:rsidR="00ED49CC"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Management of information technology services and business solutions (or systems)</w:t>
      </w:r>
    </w:p>
    <w:p w14:paraId="4FB20F3B" w14:textId="7FC93441" w:rsidR="00295A38" w:rsidRPr="000A4C00" w:rsidRDefault="00295A38" w:rsidP="00ED49CC">
      <w:pPr>
        <w:pStyle w:val="ListParagraph"/>
        <w:numPr>
          <w:ilvl w:val="0"/>
          <w:numId w:val="10"/>
        </w:numPr>
        <w:spacing w:before="120" w:after="0"/>
        <w:ind w:left="567" w:hanging="425"/>
        <w:contextualSpacing w:val="0"/>
        <w:jc w:val="both"/>
        <w:rPr>
          <w:rFonts w:cs="Calibri"/>
          <w:sz w:val="22"/>
          <w:szCs w:val="22"/>
        </w:rPr>
      </w:pPr>
      <w:r>
        <w:rPr>
          <w:rFonts w:cs="Calibri"/>
          <w:sz w:val="22"/>
          <w:szCs w:val="22"/>
        </w:rPr>
        <w:t>Digital transformation and reform.</w:t>
      </w:r>
    </w:p>
    <w:p w14:paraId="6F87E51A" w14:textId="77777777" w:rsidR="00ED49CC" w:rsidRPr="000A4C00" w:rsidRDefault="00ED49CC" w:rsidP="00ED49CC">
      <w:pPr>
        <w:pStyle w:val="ListParagraph"/>
        <w:numPr>
          <w:ilvl w:val="0"/>
          <w:numId w:val="10"/>
        </w:numPr>
        <w:spacing w:before="120" w:after="0"/>
        <w:ind w:left="567" w:hanging="425"/>
        <w:contextualSpacing w:val="0"/>
        <w:jc w:val="both"/>
        <w:rPr>
          <w:rFonts w:cs="Calibri"/>
          <w:sz w:val="22"/>
          <w:szCs w:val="22"/>
        </w:rPr>
      </w:pPr>
      <w:r w:rsidRPr="000A4C00">
        <w:rPr>
          <w:rFonts w:cs="Calibri"/>
          <w:sz w:val="22"/>
          <w:szCs w:val="22"/>
        </w:rPr>
        <w:t>Management of the Therapeutic and Client Services</w:t>
      </w:r>
    </w:p>
    <w:p w14:paraId="4B6D0FFB" w14:textId="77777777" w:rsidR="00ED49CC" w:rsidRPr="000A4C00" w:rsidRDefault="00ED49CC" w:rsidP="00ED49CC">
      <w:pPr>
        <w:autoSpaceDE w:val="0"/>
        <w:autoSpaceDN w:val="0"/>
        <w:adjustRightInd w:val="0"/>
        <w:spacing w:after="0"/>
        <w:ind w:right="118"/>
        <w:jc w:val="both"/>
        <w:rPr>
          <w:rFonts w:cs="Calibri"/>
          <w:sz w:val="22"/>
          <w:szCs w:val="22"/>
        </w:rPr>
      </w:pPr>
    </w:p>
    <w:p w14:paraId="60325799" w14:textId="77777777" w:rsidR="00C60369" w:rsidRPr="000A4C00" w:rsidRDefault="00C60369" w:rsidP="00C60369">
      <w:pPr>
        <w:pStyle w:val="Heading1"/>
        <w:jc w:val="both"/>
        <w:rPr>
          <w:rFonts w:cs="Calibri"/>
          <w:color w:val="000000" w:themeColor="text1"/>
          <w:sz w:val="32"/>
        </w:rPr>
      </w:pPr>
      <w:r w:rsidRPr="000A4C00">
        <w:rPr>
          <w:rFonts w:cs="Calibri"/>
          <w:color w:val="000000" w:themeColor="text1"/>
          <w:sz w:val="32"/>
        </w:rPr>
        <w:t xml:space="preserve">POSITION </w:t>
      </w:r>
      <w:r w:rsidRPr="000A4C00">
        <w:rPr>
          <w:rFonts w:cs="Calibri"/>
          <w:sz w:val="32"/>
        </w:rPr>
        <w:t>OVERVIEW</w:t>
      </w:r>
    </w:p>
    <w:p w14:paraId="4CAA1230" w14:textId="77777777" w:rsidR="00BC3B64" w:rsidRPr="00B350E5" w:rsidRDefault="00BC3B64" w:rsidP="00BC3B64">
      <w:pPr>
        <w:spacing w:after="0"/>
        <w:rPr>
          <w:rFonts w:cs="Calibri"/>
          <w:sz w:val="22"/>
          <w:szCs w:val="22"/>
        </w:rPr>
      </w:pPr>
      <w:bookmarkStart w:id="14" w:name="_Hlk176242823"/>
      <w:bookmarkStart w:id="15" w:name="_Hlk176175450"/>
      <w:r w:rsidRPr="00B350E5">
        <w:rPr>
          <w:rFonts w:cs="Calibri"/>
          <w:sz w:val="22"/>
          <w:szCs w:val="22"/>
        </w:rPr>
        <w:t>The Executive Director, ACTCT Modernisation Program provides leadership for ACTCT’s Modernisation Program, driving transformation and associated service, legal, operational and organisational reform. Reporting to the Executive Branch Manager, Corporate and Strategic Services, the position leads a multidisciplinary team comprising direct reports and subject matter experts supporting various projects within the program.</w:t>
      </w:r>
    </w:p>
    <w:p w14:paraId="7F6FFEFA" w14:textId="77777777" w:rsidR="00BC3B64" w:rsidRPr="00B350E5" w:rsidRDefault="00BC3B64" w:rsidP="00BC3B64">
      <w:pPr>
        <w:pStyle w:val="BodyText"/>
        <w:spacing w:after="0"/>
        <w:rPr>
          <w:sz w:val="22"/>
          <w:szCs w:val="22"/>
        </w:rPr>
      </w:pPr>
    </w:p>
    <w:p w14:paraId="338887F1" w14:textId="77777777" w:rsidR="00BC3B64" w:rsidRPr="00B350E5" w:rsidRDefault="00BC3B64" w:rsidP="00BC3B64">
      <w:pPr>
        <w:spacing w:after="0"/>
        <w:rPr>
          <w:rFonts w:cs="Calibri"/>
          <w:sz w:val="22"/>
          <w:szCs w:val="22"/>
        </w:rPr>
      </w:pPr>
      <w:r w:rsidRPr="00B350E5">
        <w:rPr>
          <w:rFonts w:cs="Calibri"/>
          <w:sz w:val="22"/>
          <w:szCs w:val="22"/>
        </w:rPr>
        <w:t>The Executive Director is accountable for the design of stage two and delivery of the ACTCT Modernisation Program that supports ACTCT’s strategic priorities and modernises delivery of court and tribunal operations. The position ensures transformation initiatives are grounded in user needs, reflects legal and operational requirements, and are supported by effective governance, investment discipline and benefits realisation.</w:t>
      </w:r>
    </w:p>
    <w:p w14:paraId="5EB22BE0" w14:textId="77777777" w:rsidR="00BC3B64" w:rsidRPr="00B350E5" w:rsidRDefault="00BC3B64" w:rsidP="00BC3B64">
      <w:pPr>
        <w:pStyle w:val="BodyText"/>
        <w:spacing w:after="0"/>
        <w:rPr>
          <w:sz w:val="22"/>
          <w:szCs w:val="22"/>
        </w:rPr>
      </w:pPr>
    </w:p>
    <w:p w14:paraId="17D3ED7D" w14:textId="77777777" w:rsidR="00BC3B64" w:rsidRPr="00B350E5" w:rsidRDefault="00BC3B64" w:rsidP="00BC3B64">
      <w:pPr>
        <w:spacing w:after="0"/>
        <w:rPr>
          <w:rFonts w:cs="Calibri"/>
          <w:sz w:val="22"/>
          <w:szCs w:val="22"/>
        </w:rPr>
      </w:pPr>
      <w:r w:rsidRPr="00B350E5">
        <w:rPr>
          <w:rFonts w:cs="Calibri"/>
          <w:sz w:val="22"/>
          <w:szCs w:val="22"/>
        </w:rPr>
        <w:t>Working closely with the ACTCT executive, heads of jurisdiction and the business, the Executive Director connects business reform with the technology, data, security and information capabilities required to enable it. The position provides a clear bridge between the ACTCT Modernisation Program objectives, judicial and operational requirements, program delivery, organisational readiness and sustainable adoption.</w:t>
      </w:r>
    </w:p>
    <w:p w14:paraId="598A79BA" w14:textId="77777777" w:rsidR="00BC3B64" w:rsidRPr="00B350E5" w:rsidRDefault="00BC3B64" w:rsidP="00BC3B64">
      <w:pPr>
        <w:pStyle w:val="BodyText"/>
        <w:spacing w:after="0"/>
        <w:rPr>
          <w:sz w:val="22"/>
          <w:szCs w:val="22"/>
        </w:rPr>
      </w:pPr>
    </w:p>
    <w:p w14:paraId="195CD7C9" w14:textId="384A8C15" w:rsidR="00BC3B64" w:rsidRPr="00B350E5" w:rsidRDefault="00BC3B64" w:rsidP="00BC3B64">
      <w:pPr>
        <w:spacing w:after="0"/>
        <w:rPr>
          <w:rFonts w:cs="Calibri"/>
          <w:sz w:val="22"/>
          <w:szCs w:val="22"/>
        </w:rPr>
      </w:pPr>
      <w:r w:rsidRPr="00B350E5">
        <w:rPr>
          <w:rFonts w:cs="Calibri"/>
          <w:sz w:val="22"/>
          <w:szCs w:val="22"/>
        </w:rPr>
        <w:t>A central focus of the role is to build ACTCT’s capacity and capability to work effectively in a digital environment whilst designing and delivering new core technology. This includes strengthening digital literacy, supporting leaders and employees through change, engaging judicial officers and tribunal members in reform, and fostering a culture that is collaborative, evidence-informed, innovative and focused on continuous improvement.</w:t>
      </w:r>
    </w:p>
    <w:p w14:paraId="7103ADCC" w14:textId="77777777" w:rsidR="00BC3B64" w:rsidRPr="00B350E5" w:rsidRDefault="00BC3B64" w:rsidP="00C60369">
      <w:pPr>
        <w:pStyle w:val="BodyText"/>
        <w:spacing w:after="0"/>
        <w:jc w:val="both"/>
        <w:rPr>
          <w:rFonts w:cs="Calibri"/>
          <w:b/>
          <w:sz w:val="22"/>
          <w:szCs w:val="22"/>
        </w:rPr>
      </w:pPr>
    </w:p>
    <w:p w14:paraId="63A6E68C" w14:textId="77777777" w:rsidR="00C60369" w:rsidRPr="00B350E5" w:rsidRDefault="00C60369" w:rsidP="00C60369">
      <w:pPr>
        <w:pStyle w:val="BodyText"/>
        <w:spacing w:after="0"/>
        <w:jc w:val="both"/>
        <w:rPr>
          <w:rFonts w:cs="Calibri"/>
          <w:b/>
          <w:bCs/>
          <w:iCs/>
          <w:color w:val="000000" w:themeColor="text1"/>
          <w:sz w:val="22"/>
          <w:szCs w:val="22"/>
        </w:rPr>
      </w:pPr>
    </w:p>
    <w:p w14:paraId="249995C3" w14:textId="77777777" w:rsidR="00BC3B64" w:rsidRPr="00B350E5" w:rsidRDefault="00BC3B64" w:rsidP="00BC3B64">
      <w:pPr>
        <w:pStyle w:val="BodyText"/>
        <w:spacing w:after="0"/>
        <w:jc w:val="both"/>
        <w:rPr>
          <w:rFonts w:cs="Calibri"/>
          <w:bCs/>
          <w:sz w:val="22"/>
          <w:szCs w:val="22"/>
        </w:rPr>
      </w:pPr>
      <w:bookmarkStart w:id="16" w:name="_Hlk134426036"/>
      <w:bookmarkEnd w:id="14"/>
      <w:bookmarkEnd w:id="15"/>
      <w:r w:rsidRPr="00B350E5">
        <w:rPr>
          <w:rFonts w:cs="Calibri"/>
          <w:b/>
          <w:bCs/>
          <w:iCs/>
          <w:color w:val="000000" w:themeColor="text1"/>
          <w:sz w:val="22"/>
          <w:szCs w:val="22"/>
        </w:rPr>
        <w:lastRenderedPageBreak/>
        <w:t>Flexible Working/Hybrid Options:</w:t>
      </w:r>
      <w:r w:rsidRPr="00B350E5">
        <w:rPr>
          <w:rFonts w:cs="Calibri"/>
          <w:iCs/>
          <w:color w:val="000000" w:themeColor="text1"/>
          <w:sz w:val="22"/>
          <w:szCs w:val="22"/>
        </w:rPr>
        <w:t xml:space="preserve"> Opportunities for flexible working options could include hybrid working, being a combination of working from home, designated office based and </w:t>
      </w:r>
      <w:proofErr w:type="spellStart"/>
      <w:r w:rsidRPr="00B350E5">
        <w:rPr>
          <w:rFonts w:cs="Calibri"/>
          <w:iCs/>
          <w:color w:val="000000" w:themeColor="text1"/>
          <w:sz w:val="22"/>
          <w:szCs w:val="22"/>
        </w:rPr>
        <w:t>FlexiSpace</w:t>
      </w:r>
      <w:proofErr w:type="spellEnd"/>
      <w:r w:rsidRPr="00B350E5">
        <w:rPr>
          <w:rFonts w:cs="Calibri"/>
          <w:iCs/>
          <w:color w:val="000000" w:themeColor="text1"/>
          <w:sz w:val="22"/>
          <w:szCs w:val="22"/>
        </w:rPr>
        <w:t xml:space="preserve"> working locations across the ACT and flexible start and finish times. </w:t>
      </w:r>
    </w:p>
    <w:p w14:paraId="33130EBE" w14:textId="77777777" w:rsidR="00BC3B64" w:rsidRPr="00B350E5" w:rsidRDefault="00BC3B64" w:rsidP="00BC3B64">
      <w:pPr>
        <w:pStyle w:val="BodyText"/>
        <w:spacing w:after="0"/>
        <w:jc w:val="both"/>
        <w:rPr>
          <w:rFonts w:cs="Calibri"/>
          <w:iCs/>
          <w:color w:val="000000" w:themeColor="text1"/>
          <w:sz w:val="22"/>
          <w:szCs w:val="22"/>
        </w:rPr>
      </w:pPr>
      <w:bookmarkStart w:id="17" w:name="_Hlk189205074"/>
    </w:p>
    <w:bookmarkEnd w:id="17"/>
    <w:p w14:paraId="6C5C7DA0" w14:textId="77777777" w:rsidR="00C60369" w:rsidRPr="000A4C00" w:rsidRDefault="00C60369" w:rsidP="00C60369">
      <w:pPr>
        <w:pStyle w:val="Heading1"/>
        <w:jc w:val="both"/>
        <w:rPr>
          <w:rFonts w:cs="Calibri"/>
          <w:color w:val="000000" w:themeColor="text1"/>
          <w:sz w:val="32"/>
        </w:rPr>
      </w:pPr>
      <w:r w:rsidRPr="000A4C00">
        <w:rPr>
          <w:rFonts w:cs="Calibri"/>
          <w:color w:val="000000" w:themeColor="text1"/>
          <w:sz w:val="32"/>
        </w:rPr>
        <w:t>WHAT YOU WILL DO</w:t>
      </w:r>
    </w:p>
    <w:p w14:paraId="18043324" w14:textId="77777777" w:rsidR="00BC3B64" w:rsidRPr="00B350E5" w:rsidRDefault="00BC3B64" w:rsidP="00BC3B64">
      <w:pPr>
        <w:rPr>
          <w:sz w:val="22"/>
          <w:szCs w:val="22"/>
        </w:rPr>
      </w:pPr>
      <w:r w:rsidRPr="00B350E5">
        <w:rPr>
          <w:sz w:val="22"/>
          <w:szCs w:val="22"/>
        </w:rPr>
        <w:t xml:space="preserve">As part of ACTCT executive team, the </w:t>
      </w:r>
      <w:r w:rsidRPr="00B350E5">
        <w:rPr>
          <w:color w:val="000000" w:themeColor="text1"/>
          <w:sz w:val="22"/>
          <w:szCs w:val="22"/>
        </w:rPr>
        <w:t>Executive Director, ACTCT Modernisation Program</w:t>
      </w:r>
      <w:r w:rsidRPr="00B350E5">
        <w:rPr>
          <w:sz w:val="22"/>
          <w:szCs w:val="22"/>
        </w:rPr>
        <w:t xml:space="preserve"> is responsible for the provision of leadership, strategic direction and delivery of the Modernisation Program.  Primary responsibilities include:</w:t>
      </w:r>
    </w:p>
    <w:p w14:paraId="742A9F67"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Strategic direction:</w:t>
      </w:r>
      <w:r w:rsidRPr="00B350E5">
        <w:rPr>
          <w:sz w:val="22"/>
          <w:szCs w:val="22"/>
        </w:rPr>
        <w:t xml:space="preserve"> Design phase two of the ACTCT’s Modernisation Program, aligning ACTCT objectives and broader ACT Government directions.</w:t>
      </w:r>
    </w:p>
    <w:p w14:paraId="22321C85"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Program delivery:</w:t>
      </w:r>
      <w:r w:rsidRPr="00B350E5">
        <w:rPr>
          <w:sz w:val="22"/>
          <w:szCs w:val="22"/>
        </w:rPr>
        <w:t xml:space="preserve"> Provide executive oversight of the ACTCT’s Modernisation Program, ensuring clear accountability, effective governance, disciplined delivery and successful transition into business-as-usual operations.</w:t>
      </w:r>
    </w:p>
    <w:p w14:paraId="777CD595"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Service and business reform:</w:t>
      </w:r>
      <w:r w:rsidRPr="00B350E5">
        <w:rPr>
          <w:sz w:val="22"/>
          <w:szCs w:val="22"/>
        </w:rPr>
        <w:t xml:space="preserve"> Lead user-centred reform across services, processes, policy, legislation and operating practices whilst ensuring legal compliance.</w:t>
      </w:r>
    </w:p>
    <w:p w14:paraId="0B1AA8F9"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Organisational change:</w:t>
      </w:r>
      <w:r w:rsidRPr="00B350E5">
        <w:rPr>
          <w:sz w:val="22"/>
          <w:szCs w:val="22"/>
        </w:rPr>
        <w:t xml:space="preserve"> Lead coordinated change, engagement and adoption activities for employees, judicial officers and tribunal members, recognising their distinct roles and requirements.</w:t>
      </w:r>
    </w:p>
    <w:p w14:paraId="18D1050B"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Executive advice and assurance:</w:t>
      </w:r>
      <w:r w:rsidRPr="00B350E5">
        <w:rPr>
          <w:sz w:val="22"/>
          <w:szCs w:val="22"/>
        </w:rPr>
        <w:t xml:space="preserve"> Provide authoritative advice on transformation priorities, investment, delivery confidence, organisational readiness, interdependencies, risks and expected benefits.</w:t>
      </w:r>
    </w:p>
    <w:p w14:paraId="25BB2D65"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Governance:</w:t>
      </w:r>
      <w:r w:rsidRPr="00B350E5">
        <w:rPr>
          <w:sz w:val="22"/>
          <w:szCs w:val="22"/>
        </w:rPr>
        <w:t xml:space="preserve"> Establish fit-for-purpose program governance, assurance and benefits-management arrangements, and provide timely, accurate reporting to the ACTCT executive and relevant governance bodies.</w:t>
      </w:r>
    </w:p>
    <w:p w14:paraId="18C95096"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Financial management:</w:t>
      </w:r>
      <w:r w:rsidRPr="00B350E5">
        <w:rPr>
          <w:sz w:val="22"/>
          <w:szCs w:val="22"/>
        </w:rPr>
        <w:t xml:space="preserve"> Manage program budget, business cases, procurement and external providers, ensuring resources are used effectively and in accordance with legislative and government requirements.</w:t>
      </w:r>
    </w:p>
    <w:p w14:paraId="7E255C9C"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People leadership:</w:t>
      </w:r>
      <w:r w:rsidRPr="00B350E5">
        <w:rPr>
          <w:sz w:val="22"/>
          <w:szCs w:val="22"/>
        </w:rPr>
        <w:t xml:space="preserve"> Lead and develop multidisciplinary teams, including direct reports and other subject matter experts promoting accountability, collaboration, wellbeing and professional excellence.</w:t>
      </w:r>
    </w:p>
    <w:p w14:paraId="7A5ECFDE"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Stakeholder relationships:</w:t>
      </w:r>
      <w:r w:rsidRPr="00B350E5">
        <w:rPr>
          <w:sz w:val="22"/>
          <w:szCs w:val="22"/>
        </w:rPr>
        <w:t xml:space="preserve"> Build effective partnerships across ACTCT, the Justice and Community Safety Directorate, Digital Canberra, ACT Government, the justice sector and other Australian courts and tribunals.</w:t>
      </w:r>
    </w:p>
    <w:p w14:paraId="225979F3" w14:textId="77777777" w:rsidR="00BC3B64" w:rsidRPr="00B350E5" w:rsidRDefault="00BC3B64" w:rsidP="00BC3B64">
      <w:pPr>
        <w:pStyle w:val="BodyText2"/>
        <w:numPr>
          <w:ilvl w:val="0"/>
          <w:numId w:val="14"/>
        </w:numPr>
        <w:suppressAutoHyphens w:val="0"/>
        <w:spacing w:line="240" w:lineRule="auto"/>
        <w:ind w:left="567" w:hanging="425"/>
        <w:rPr>
          <w:sz w:val="22"/>
          <w:szCs w:val="22"/>
        </w:rPr>
      </w:pPr>
      <w:r w:rsidRPr="00B350E5">
        <w:rPr>
          <w:b/>
          <w:bCs/>
          <w:sz w:val="22"/>
          <w:szCs w:val="22"/>
        </w:rPr>
        <w:t>Values and compliance:</w:t>
      </w:r>
      <w:r w:rsidRPr="00B350E5">
        <w:rPr>
          <w:sz w:val="22"/>
          <w:szCs w:val="22"/>
        </w:rPr>
        <w:t xml:space="preserve"> Model the ACTPS values and Code of Conduct and ensure transformation activities comply with relevant financial, procurement, privacy, records, security, accessibility, audit and workplace requirements.</w:t>
      </w:r>
    </w:p>
    <w:p w14:paraId="5DA83452" w14:textId="77777777" w:rsidR="00BC3B64" w:rsidRPr="00B350E5" w:rsidRDefault="00BC3B64" w:rsidP="00BC3B64">
      <w:pPr>
        <w:spacing w:after="0"/>
        <w:rPr>
          <w:sz w:val="22"/>
          <w:szCs w:val="22"/>
        </w:rPr>
      </w:pPr>
    </w:p>
    <w:p w14:paraId="18EC0DDA" w14:textId="77777777" w:rsidR="00BC3B64" w:rsidRPr="00B350E5" w:rsidRDefault="00BC3B64" w:rsidP="00BC3B64">
      <w:pPr>
        <w:pStyle w:val="BodyText"/>
        <w:spacing w:after="0"/>
        <w:rPr>
          <w:rFonts w:cs="Times New Roman"/>
          <w:b/>
        </w:rPr>
      </w:pPr>
      <w:r w:rsidRPr="00B350E5">
        <w:rPr>
          <w:rFonts w:cs="Times New Roman"/>
          <w:b/>
        </w:rPr>
        <w:t>Reporting Relationships</w:t>
      </w:r>
    </w:p>
    <w:p w14:paraId="32DC126D" w14:textId="77777777" w:rsidR="00BC3B64" w:rsidRPr="00B350E5" w:rsidRDefault="00BC3B64" w:rsidP="00BC3B64">
      <w:pPr>
        <w:pStyle w:val="ListParagraph"/>
        <w:numPr>
          <w:ilvl w:val="0"/>
          <w:numId w:val="20"/>
        </w:numPr>
        <w:spacing w:before="120" w:after="0"/>
        <w:ind w:left="567" w:hanging="425"/>
        <w:contextualSpacing w:val="0"/>
        <w:rPr>
          <w:sz w:val="22"/>
          <w:szCs w:val="22"/>
        </w:rPr>
      </w:pPr>
      <w:r w:rsidRPr="00B350E5">
        <w:rPr>
          <w:sz w:val="22"/>
          <w:szCs w:val="22"/>
        </w:rPr>
        <w:t xml:space="preserve">The </w:t>
      </w:r>
      <w:r w:rsidRPr="00B350E5">
        <w:rPr>
          <w:color w:val="000000" w:themeColor="text1"/>
          <w:sz w:val="22"/>
          <w:szCs w:val="22"/>
        </w:rPr>
        <w:t>Executive Director, ACTCT Modernisation Program</w:t>
      </w:r>
      <w:r w:rsidRPr="00B350E5">
        <w:rPr>
          <w:sz w:val="22"/>
          <w:szCs w:val="22"/>
        </w:rPr>
        <w:t xml:space="preserve"> reports directly to the Executive Branch Manager, Corporate and Strategic Services, ACTCT.</w:t>
      </w:r>
    </w:p>
    <w:p w14:paraId="3FBBBC36" w14:textId="77777777" w:rsidR="00BC3B64" w:rsidRPr="00367185" w:rsidRDefault="00BC3B64" w:rsidP="00BC3B64">
      <w:pPr>
        <w:pStyle w:val="ListParagraph"/>
        <w:numPr>
          <w:ilvl w:val="0"/>
          <w:numId w:val="20"/>
        </w:numPr>
        <w:spacing w:before="120" w:after="0"/>
        <w:ind w:left="567" w:hanging="425"/>
        <w:contextualSpacing w:val="0"/>
        <w:rPr>
          <w:color w:val="FF0000"/>
          <w:sz w:val="22"/>
          <w:szCs w:val="22"/>
        </w:rPr>
      </w:pPr>
      <w:r w:rsidRPr="00B350E5">
        <w:rPr>
          <w:sz w:val="22"/>
          <w:szCs w:val="22"/>
        </w:rPr>
        <w:t xml:space="preserve">Works collaboratively with ACTCT executive, judicial officers, and tribunal members, JACS Corporate, Digital Canberra, key industries and other Government and Non-Government Agencies. </w:t>
      </w:r>
    </w:p>
    <w:p w14:paraId="154C03D2" w14:textId="610CED2A" w:rsidR="00367185" w:rsidRPr="00367185" w:rsidRDefault="00367185" w:rsidP="00367185">
      <w:pPr>
        <w:spacing w:before="120" w:after="0"/>
        <w:rPr>
          <w:color w:val="FF0000"/>
          <w:sz w:val="22"/>
          <w:szCs w:val="22"/>
        </w:rPr>
      </w:pPr>
      <w:r>
        <w:rPr>
          <w:rFonts w:cs="Calibri"/>
          <w:sz w:val="22"/>
          <w:szCs w:val="22"/>
        </w:rPr>
        <w:br/>
      </w:r>
      <w:r w:rsidRPr="00367185">
        <w:rPr>
          <w:rFonts w:cs="Calibri"/>
          <w:sz w:val="22"/>
          <w:szCs w:val="22"/>
        </w:rPr>
        <w:t>All ACTPS Senior Executive Service members are required to exercise the functions of their position in accordance with the closing the gap principle  </w:t>
      </w:r>
      <w:hyperlink r:id="rId9" w:history="1">
        <w:r w:rsidRPr="00367185">
          <w:rPr>
            <w:rStyle w:val="Hyperlink"/>
            <w:rFonts w:cs="Calibri"/>
            <w:sz w:val="22"/>
            <w:szCs w:val="22"/>
          </w:rPr>
          <w:t xml:space="preserve">Closing </w:t>
        </w:r>
        <w:proofErr w:type="gramStart"/>
        <w:r w:rsidRPr="00367185">
          <w:rPr>
            <w:rStyle w:val="Hyperlink"/>
            <w:rFonts w:cs="Calibri"/>
            <w:sz w:val="22"/>
            <w:szCs w:val="22"/>
          </w:rPr>
          <w:t>The</w:t>
        </w:r>
        <w:proofErr w:type="gramEnd"/>
        <w:r w:rsidRPr="00367185">
          <w:rPr>
            <w:rStyle w:val="Hyperlink"/>
            <w:rFonts w:cs="Calibri"/>
            <w:sz w:val="22"/>
            <w:szCs w:val="22"/>
          </w:rPr>
          <w:t xml:space="preserve"> Gap Cultural Capability - Home</w:t>
        </w:r>
      </w:hyperlink>
    </w:p>
    <w:p w14:paraId="560239E9" w14:textId="77777777" w:rsidR="00C60369" w:rsidRPr="00B350E5" w:rsidRDefault="00C60369" w:rsidP="00C60369">
      <w:pPr>
        <w:spacing w:after="0"/>
        <w:jc w:val="both"/>
        <w:rPr>
          <w:rFonts w:cs="Calibri"/>
          <w:sz w:val="22"/>
          <w:szCs w:val="22"/>
        </w:rPr>
      </w:pPr>
      <w:bookmarkStart w:id="18" w:name="_Hlk134426054"/>
      <w:bookmarkEnd w:id="16"/>
    </w:p>
    <w:p w14:paraId="2E7492BC" w14:textId="7FCCC7CA" w:rsidR="00C60369" w:rsidRPr="00B350E5" w:rsidRDefault="00C60369" w:rsidP="00C60369">
      <w:pPr>
        <w:pStyle w:val="Heading1"/>
        <w:jc w:val="both"/>
        <w:rPr>
          <w:rFonts w:cs="Calibri"/>
          <w:color w:val="000000" w:themeColor="text1"/>
          <w:sz w:val="32"/>
        </w:rPr>
      </w:pPr>
      <w:r w:rsidRPr="00B350E5">
        <w:rPr>
          <w:rFonts w:cs="Calibri"/>
          <w:color w:val="000000" w:themeColor="text1"/>
          <w:sz w:val="32"/>
        </w:rPr>
        <w:lastRenderedPageBreak/>
        <w:t>WHAT YOU REQUIRE</w:t>
      </w:r>
      <w:r w:rsidR="00ED49CC" w:rsidRPr="00B350E5">
        <w:rPr>
          <w:rFonts w:cs="Calibri"/>
          <w:color w:val="000000" w:themeColor="text1"/>
          <w:sz w:val="32"/>
        </w:rPr>
        <w:t xml:space="preserve"> (EXECUTIVE CAPABILTIES)</w:t>
      </w:r>
    </w:p>
    <w:p w14:paraId="0CA5A28A" w14:textId="23207469" w:rsidR="00FD57E8" w:rsidRPr="00B350E5" w:rsidRDefault="00063272" w:rsidP="007F7649">
      <w:pPr>
        <w:pStyle w:val="BodyText"/>
        <w:rPr>
          <w:rFonts w:cs="Calibri"/>
          <w:sz w:val="22"/>
          <w:szCs w:val="22"/>
        </w:rPr>
      </w:pPr>
      <w:r w:rsidRPr="00B350E5">
        <w:rPr>
          <w:rFonts w:cs="Calibri"/>
          <w:sz w:val="22"/>
          <w:szCs w:val="22"/>
        </w:rPr>
        <w:t xml:space="preserve">The </w:t>
      </w:r>
      <w:r w:rsidR="00FD57E8" w:rsidRPr="00B350E5">
        <w:rPr>
          <w:rFonts w:cs="Calibri"/>
          <w:sz w:val="22"/>
          <w:szCs w:val="22"/>
        </w:rPr>
        <w:t xml:space="preserve">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 </w:t>
      </w:r>
    </w:p>
    <w:p w14:paraId="6BE6E9DD" w14:textId="77777777" w:rsidR="007F7649" w:rsidRPr="00B350E5" w:rsidRDefault="007F7649" w:rsidP="007F7649">
      <w:pPr>
        <w:pStyle w:val="BodyText"/>
        <w:numPr>
          <w:ilvl w:val="0"/>
          <w:numId w:val="17"/>
        </w:numPr>
        <w:spacing w:before="120"/>
        <w:ind w:left="567" w:hanging="425"/>
        <w:jc w:val="both"/>
        <w:rPr>
          <w:rFonts w:cs="Calibri"/>
          <w:b/>
          <w:color w:val="000000" w:themeColor="text1"/>
        </w:rPr>
      </w:pPr>
      <w:bookmarkStart w:id="19" w:name="_Hlk99981881"/>
      <w:r w:rsidRPr="00B350E5">
        <w:rPr>
          <w:rFonts w:cs="Calibri"/>
          <w:b/>
          <w:color w:val="000000" w:themeColor="text1"/>
        </w:rPr>
        <w:t>Leads and values people</w:t>
      </w:r>
    </w:p>
    <w:p w14:paraId="14A6C4FD" w14:textId="77777777" w:rsidR="007F7649" w:rsidRPr="00B350E5" w:rsidRDefault="007F7649" w:rsidP="00063272">
      <w:pPr>
        <w:pStyle w:val="ListParagraph"/>
        <w:autoSpaceDE w:val="0"/>
        <w:autoSpaceDN w:val="0"/>
        <w:adjustRightInd w:val="0"/>
        <w:spacing w:before="120" w:after="0"/>
        <w:ind w:left="567"/>
        <w:contextualSpacing w:val="0"/>
        <w:rPr>
          <w:rFonts w:cs="Calibri"/>
          <w:i/>
          <w:sz w:val="22"/>
          <w:szCs w:val="22"/>
        </w:rPr>
      </w:pPr>
      <w:r w:rsidRPr="00B350E5">
        <w:rPr>
          <w:rFonts w:cs="Calibri"/>
          <w:i/>
          <w:sz w:val="22"/>
          <w:szCs w:val="22"/>
        </w:rPr>
        <w:t>Relevant capabilities:</w:t>
      </w:r>
    </w:p>
    <w:p w14:paraId="5CDFE192"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Motivates and develops people</w:t>
      </w:r>
    </w:p>
    <w:p w14:paraId="13DD78B5"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Values diversity and respects individuals</w:t>
      </w:r>
    </w:p>
    <w:p w14:paraId="326C62FD"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Builds a culture of improving practice</w:t>
      </w:r>
    </w:p>
    <w:p w14:paraId="3DE2CD3A" w14:textId="77777777" w:rsidR="007F7649" w:rsidRPr="00B350E5" w:rsidRDefault="007F7649" w:rsidP="00B12647">
      <w:pPr>
        <w:pStyle w:val="BodyText"/>
        <w:numPr>
          <w:ilvl w:val="0"/>
          <w:numId w:val="17"/>
        </w:numPr>
        <w:spacing w:before="120"/>
        <w:ind w:left="567" w:hanging="425"/>
        <w:jc w:val="both"/>
        <w:rPr>
          <w:rFonts w:cs="Calibri"/>
          <w:b/>
        </w:rPr>
      </w:pPr>
      <w:bookmarkStart w:id="20" w:name="_Hlk99981951"/>
      <w:bookmarkEnd w:id="19"/>
      <w:r w:rsidRPr="00B350E5">
        <w:rPr>
          <w:rFonts w:cs="Calibri"/>
          <w:b/>
          <w:color w:val="000000" w:themeColor="text1"/>
        </w:rPr>
        <w:t>Shapes</w:t>
      </w:r>
      <w:r w:rsidRPr="00B350E5">
        <w:rPr>
          <w:rFonts w:cs="Calibri"/>
          <w:b/>
        </w:rPr>
        <w:t xml:space="preserve"> strategic thinking</w:t>
      </w:r>
    </w:p>
    <w:p w14:paraId="40E7F573" w14:textId="77777777" w:rsidR="007F7649" w:rsidRPr="00B350E5" w:rsidRDefault="007F7649" w:rsidP="00063272">
      <w:pPr>
        <w:pStyle w:val="ListParagraph"/>
        <w:autoSpaceDE w:val="0"/>
        <w:autoSpaceDN w:val="0"/>
        <w:adjustRightInd w:val="0"/>
        <w:spacing w:before="120" w:after="0"/>
        <w:ind w:left="567"/>
        <w:contextualSpacing w:val="0"/>
        <w:rPr>
          <w:rFonts w:cs="Calibri"/>
          <w:i/>
          <w:sz w:val="22"/>
          <w:szCs w:val="22"/>
        </w:rPr>
      </w:pPr>
      <w:r w:rsidRPr="00B350E5">
        <w:rPr>
          <w:rFonts w:cs="Calibri"/>
          <w:i/>
          <w:sz w:val="22"/>
          <w:szCs w:val="22"/>
        </w:rPr>
        <w:t>Relevant capabilities:</w:t>
      </w:r>
    </w:p>
    <w:p w14:paraId="1DC02348"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Inspires a sense of purpose and direction</w:t>
      </w:r>
    </w:p>
    <w:p w14:paraId="6F164736"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Encourages innovation and engages with risk</w:t>
      </w:r>
    </w:p>
    <w:p w14:paraId="44B6DC73"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Thinks broadly and develops solutions</w:t>
      </w:r>
    </w:p>
    <w:bookmarkEnd w:id="20"/>
    <w:p w14:paraId="063444CC" w14:textId="77777777" w:rsidR="007F7649" w:rsidRPr="00B350E5" w:rsidRDefault="007F7649" w:rsidP="00B12647">
      <w:pPr>
        <w:pStyle w:val="BodyText"/>
        <w:numPr>
          <w:ilvl w:val="0"/>
          <w:numId w:val="17"/>
        </w:numPr>
        <w:spacing w:before="120"/>
        <w:ind w:left="567" w:hanging="425"/>
        <w:jc w:val="both"/>
        <w:rPr>
          <w:rFonts w:cs="Calibri"/>
          <w:b/>
        </w:rPr>
      </w:pPr>
      <w:r w:rsidRPr="00B350E5">
        <w:rPr>
          <w:rFonts w:cs="Calibri"/>
          <w:b/>
          <w:color w:val="000000" w:themeColor="text1"/>
        </w:rPr>
        <w:t>Achieves</w:t>
      </w:r>
      <w:r w:rsidRPr="00B350E5">
        <w:rPr>
          <w:rFonts w:cs="Calibri"/>
          <w:b/>
        </w:rPr>
        <w:t xml:space="preserve"> results with integrity</w:t>
      </w:r>
    </w:p>
    <w:p w14:paraId="1E3FEC40" w14:textId="77777777" w:rsidR="007F7649" w:rsidRPr="00B350E5" w:rsidRDefault="007F7649" w:rsidP="00063272">
      <w:pPr>
        <w:pStyle w:val="ListParagraph"/>
        <w:autoSpaceDE w:val="0"/>
        <w:autoSpaceDN w:val="0"/>
        <w:adjustRightInd w:val="0"/>
        <w:spacing w:before="120" w:after="0"/>
        <w:ind w:left="567"/>
        <w:contextualSpacing w:val="0"/>
        <w:rPr>
          <w:rFonts w:cs="Calibri"/>
          <w:i/>
          <w:sz w:val="22"/>
          <w:szCs w:val="22"/>
        </w:rPr>
      </w:pPr>
      <w:r w:rsidRPr="00B350E5">
        <w:rPr>
          <w:rFonts w:cs="Calibri"/>
          <w:i/>
          <w:sz w:val="22"/>
          <w:szCs w:val="22"/>
        </w:rPr>
        <w:t>Relevant capabilities:</w:t>
      </w:r>
    </w:p>
    <w:p w14:paraId="15571830"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Develops organisational capability to deliver results</w:t>
      </w:r>
    </w:p>
    <w:p w14:paraId="4947A11C"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Manages resources wisely and with probity</w:t>
      </w:r>
    </w:p>
    <w:p w14:paraId="5BFC8770"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Progresses evidence-based policies and procedures</w:t>
      </w:r>
    </w:p>
    <w:p w14:paraId="01E4AC7B"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Shows sound judgement, is responsive and ethical</w:t>
      </w:r>
    </w:p>
    <w:p w14:paraId="395CAC67" w14:textId="77777777" w:rsidR="007F7649" w:rsidRPr="00B350E5" w:rsidRDefault="007F7649" w:rsidP="00B12647">
      <w:pPr>
        <w:pStyle w:val="BodyText"/>
        <w:numPr>
          <w:ilvl w:val="0"/>
          <w:numId w:val="17"/>
        </w:numPr>
        <w:spacing w:before="120"/>
        <w:ind w:left="567" w:hanging="425"/>
        <w:jc w:val="both"/>
        <w:rPr>
          <w:rFonts w:cs="Calibri"/>
          <w:b/>
        </w:rPr>
      </w:pPr>
      <w:r w:rsidRPr="00B350E5">
        <w:rPr>
          <w:rFonts w:cs="Calibri"/>
          <w:b/>
          <w:color w:val="000000" w:themeColor="text1"/>
        </w:rPr>
        <w:t>Fosters</w:t>
      </w:r>
      <w:r w:rsidRPr="00B350E5">
        <w:rPr>
          <w:rFonts w:cs="Calibri"/>
          <w:b/>
        </w:rPr>
        <w:t xml:space="preserve"> collaboration</w:t>
      </w:r>
    </w:p>
    <w:p w14:paraId="334ECB67" w14:textId="77777777" w:rsidR="007F7649" w:rsidRPr="00B350E5" w:rsidRDefault="007F7649" w:rsidP="00063272">
      <w:pPr>
        <w:pStyle w:val="ListParagraph"/>
        <w:autoSpaceDE w:val="0"/>
        <w:autoSpaceDN w:val="0"/>
        <w:adjustRightInd w:val="0"/>
        <w:spacing w:before="120" w:after="0"/>
        <w:ind w:left="567"/>
        <w:contextualSpacing w:val="0"/>
        <w:rPr>
          <w:rFonts w:cs="Calibri"/>
          <w:i/>
          <w:sz w:val="22"/>
          <w:szCs w:val="22"/>
        </w:rPr>
      </w:pPr>
      <w:r w:rsidRPr="00B350E5">
        <w:rPr>
          <w:rFonts w:cs="Calibri"/>
          <w:i/>
          <w:sz w:val="22"/>
          <w:szCs w:val="22"/>
        </w:rPr>
        <w:t>Relevant capabilities:</w:t>
      </w:r>
    </w:p>
    <w:p w14:paraId="70DDFC0B"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Listens and communicates with influence</w:t>
      </w:r>
    </w:p>
    <w:p w14:paraId="0F1B12BB"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Engages effectively across government</w:t>
      </w:r>
    </w:p>
    <w:p w14:paraId="1CAA5698"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Builds and maintains key relationships</w:t>
      </w:r>
    </w:p>
    <w:p w14:paraId="2A08E354" w14:textId="77777777" w:rsidR="007F7649" w:rsidRPr="00B350E5" w:rsidRDefault="007F7649" w:rsidP="00B12647">
      <w:pPr>
        <w:pStyle w:val="BodyText"/>
        <w:numPr>
          <w:ilvl w:val="0"/>
          <w:numId w:val="17"/>
        </w:numPr>
        <w:spacing w:before="120"/>
        <w:ind w:left="567" w:hanging="425"/>
        <w:jc w:val="both"/>
        <w:rPr>
          <w:rFonts w:cs="Calibri"/>
          <w:b/>
        </w:rPr>
      </w:pPr>
      <w:r w:rsidRPr="00B350E5">
        <w:rPr>
          <w:rFonts w:cs="Calibri"/>
          <w:b/>
          <w:color w:val="000000" w:themeColor="text1"/>
        </w:rPr>
        <w:t>Exemplifies</w:t>
      </w:r>
      <w:r w:rsidRPr="00B350E5">
        <w:rPr>
          <w:rFonts w:cs="Calibri"/>
          <w:b/>
        </w:rPr>
        <w:t xml:space="preserve"> citizen, community and service focus</w:t>
      </w:r>
    </w:p>
    <w:p w14:paraId="3205C88F" w14:textId="77777777" w:rsidR="007F7649" w:rsidRPr="00B350E5" w:rsidRDefault="007F7649" w:rsidP="00063272">
      <w:pPr>
        <w:pStyle w:val="ListParagraph"/>
        <w:autoSpaceDE w:val="0"/>
        <w:autoSpaceDN w:val="0"/>
        <w:adjustRightInd w:val="0"/>
        <w:spacing w:before="120" w:after="0"/>
        <w:ind w:left="567"/>
        <w:contextualSpacing w:val="0"/>
        <w:rPr>
          <w:rFonts w:cs="Calibri"/>
          <w:i/>
          <w:sz w:val="22"/>
          <w:szCs w:val="22"/>
        </w:rPr>
      </w:pPr>
      <w:r w:rsidRPr="00B350E5">
        <w:rPr>
          <w:rFonts w:cs="Calibri"/>
          <w:i/>
          <w:sz w:val="22"/>
          <w:szCs w:val="22"/>
        </w:rPr>
        <w:t>Relevant capabilities:</w:t>
      </w:r>
    </w:p>
    <w:p w14:paraId="22EBF4E3"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Understands, anticipates and evaluates client needs</w:t>
      </w:r>
    </w:p>
    <w:p w14:paraId="511E6143"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sz w:val="22"/>
          <w:szCs w:val="22"/>
        </w:rPr>
      </w:pPr>
      <w:r w:rsidRPr="00B350E5">
        <w:rPr>
          <w:rFonts w:cs="Calibri"/>
          <w:sz w:val="22"/>
          <w:szCs w:val="22"/>
        </w:rPr>
        <w:t>Creates partnerships and co-operation</w:t>
      </w:r>
    </w:p>
    <w:p w14:paraId="1586150B" w14:textId="77777777" w:rsidR="007F7649" w:rsidRPr="00B350E5" w:rsidRDefault="007F7649" w:rsidP="00063272">
      <w:pPr>
        <w:pStyle w:val="ListParagraph"/>
        <w:numPr>
          <w:ilvl w:val="0"/>
          <w:numId w:val="16"/>
        </w:numPr>
        <w:suppressAutoHyphens w:val="0"/>
        <w:spacing w:before="120" w:after="0"/>
        <w:ind w:left="993" w:hanging="357"/>
        <w:contextualSpacing w:val="0"/>
        <w:rPr>
          <w:rFonts w:cs="Calibri"/>
          <w:i/>
          <w:sz w:val="22"/>
          <w:szCs w:val="22"/>
        </w:rPr>
      </w:pPr>
      <w:r w:rsidRPr="00B350E5">
        <w:rPr>
          <w:rFonts w:cs="Calibri"/>
          <w:sz w:val="22"/>
          <w:szCs w:val="22"/>
        </w:rPr>
        <w:t>Works to improve outcomes</w:t>
      </w:r>
    </w:p>
    <w:p w14:paraId="7DCF12FF" w14:textId="2DD3A4E5" w:rsidR="00C60369" w:rsidRPr="00B350E5" w:rsidRDefault="00C60369" w:rsidP="00C60369">
      <w:pPr>
        <w:pStyle w:val="BodyText"/>
        <w:spacing w:before="120"/>
        <w:jc w:val="both"/>
        <w:rPr>
          <w:rFonts w:cs="Calibri"/>
          <w:b/>
          <w:color w:val="000000" w:themeColor="text1"/>
        </w:rPr>
      </w:pPr>
      <w:bookmarkStart w:id="21" w:name="_Hlk159393905"/>
      <w:r w:rsidRPr="00B350E5">
        <w:rPr>
          <w:rFonts w:cs="Calibri"/>
          <w:b/>
          <w:color w:val="000000" w:themeColor="text1"/>
        </w:rPr>
        <w:t>Compliance Requirements/Qualifications</w:t>
      </w:r>
    </w:p>
    <w:p w14:paraId="62FCD734" w14:textId="4398D164" w:rsidR="003B006B" w:rsidRPr="00B350E5" w:rsidRDefault="00B12647" w:rsidP="0037623F">
      <w:pPr>
        <w:pStyle w:val="ListParagraph"/>
        <w:numPr>
          <w:ilvl w:val="0"/>
          <w:numId w:val="12"/>
        </w:numPr>
        <w:spacing w:before="120" w:after="0"/>
        <w:ind w:left="567" w:hanging="425"/>
        <w:contextualSpacing w:val="0"/>
        <w:rPr>
          <w:rFonts w:cs="Calibri"/>
          <w:color w:val="000000" w:themeColor="text1"/>
          <w:sz w:val="22"/>
          <w:szCs w:val="22"/>
        </w:rPr>
      </w:pPr>
      <w:bookmarkStart w:id="22" w:name="_Hlk171579344"/>
      <w:bookmarkStart w:id="23" w:name="_Hlk159393326"/>
      <w:bookmarkStart w:id="24" w:name="_Hlk159393982"/>
      <w:bookmarkStart w:id="25" w:name="_Hlk181167003"/>
      <w:bookmarkStart w:id="26" w:name="_Hlk134426068"/>
      <w:bookmarkEnd w:id="18"/>
      <w:bookmarkEnd w:id="21"/>
      <w:r w:rsidRPr="00B350E5">
        <w:rPr>
          <w:rFonts w:cs="Calibri"/>
          <w:color w:val="000000" w:themeColor="text1"/>
          <w:sz w:val="22"/>
          <w:szCs w:val="22"/>
        </w:rPr>
        <w:t xml:space="preserve">Commencing 1 July 2026 all ACTPS Senior Executive Service members are required to exercise the functions of their position in accordance with the closing the gap principle </w:t>
      </w:r>
      <w:hyperlink r:id="rId10" w:history="1">
        <w:r w:rsidRPr="00B350E5">
          <w:rPr>
            <w:rStyle w:val="Hyperlink"/>
            <w:rFonts w:cs="Calibri"/>
            <w:sz w:val="22"/>
            <w:szCs w:val="22"/>
          </w:rPr>
          <w:t>ACT Closing the Gap Implementation Plan - ACT Government Transparency Portal</w:t>
        </w:r>
      </w:hyperlink>
      <w:r w:rsidRPr="00B350E5">
        <w:rPr>
          <w:rFonts w:cs="Calibri"/>
          <w:color w:val="000000" w:themeColor="text1"/>
          <w:sz w:val="22"/>
          <w:szCs w:val="22"/>
        </w:rPr>
        <w:t xml:space="preserve">. </w:t>
      </w:r>
      <w:bookmarkEnd w:id="3"/>
      <w:bookmarkEnd w:id="12"/>
      <w:bookmarkEnd w:id="22"/>
      <w:bookmarkEnd w:id="23"/>
      <w:bookmarkEnd w:id="24"/>
      <w:bookmarkEnd w:id="25"/>
      <w:bookmarkEnd w:id="26"/>
    </w:p>
    <w:p w14:paraId="5415EB1E" w14:textId="77777777" w:rsidR="00E1799C" w:rsidRPr="00B350E5" w:rsidRDefault="00E1799C" w:rsidP="00E1799C">
      <w:pPr>
        <w:pStyle w:val="ListParagraph"/>
        <w:numPr>
          <w:ilvl w:val="0"/>
          <w:numId w:val="12"/>
        </w:numPr>
        <w:spacing w:before="120" w:after="0"/>
        <w:ind w:left="567" w:hanging="425"/>
        <w:contextualSpacing w:val="0"/>
        <w:rPr>
          <w:rFonts w:cs="Calibri"/>
          <w:color w:val="000000" w:themeColor="text1"/>
          <w:sz w:val="22"/>
          <w:szCs w:val="22"/>
        </w:rPr>
      </w:pPr>
      <w:r w:rsidRPr="00B350E5">
        <w:rPr>
          <w:rFonts w:cs="Calibri"/>
          <w:color w:val="000000" w:themeColor="text1"/>
          <w:sz w:val="22"/>
          <w:szCs w:val="22"/>
        </w:rPr>
        <w:t xml:space="preserve">Information about executive employment conditions can be obtained by clicking the following links: </w:t>
      </w:r>
    </w:p>
    <w:p w14:paraId="67E9D1E3" w14:textId="77777777" w:rsidR="00E1799C" w:rsidRPr="00B350E5" w:rsidRDefault="00E1799C" w:rsidP="00592657">
      <w:pPr>
        <w:pStyle w:val="ListParagraph"/>
        <w:numPr>
          <w:ilvl w:val="0"/>
          <w:numId w:val="18"/>
        </w:numPr>
        <w:suppressAutoHyphens w:val="0"/>
        <w:spacing w:before="120" w:after="0"/>
        <w:ind w:left="1134"/>
        <w:contextualSpacing w:val="0"/>
        <w:rPr>
          <w:rFonts w:cs="Calibri"/>
          <w:color w:val="000000" w:themeColor="text1"/>
          <w:sz w:val="22"/>
          <w:szCs w:val="22"/>
        </w:rPr>
      </w:pPr>
      <w:hyperlink r:id="rId11" w:history="1">
        <w:r w:rsidRPr="00B350E5">
          <w:rPr>
            <w:rStyle w:val="Hyperlink"/>
            <w:rFonts w:cs="Calibri"/>
            <w:sz w:val="22"/>
            <w:szCs w:val="22"/>
          </w:rPr>
          <w:t>Executive Handbook</w:t>
        </w:r>
      </w:hyperlink>
    </w:p>
    <w:p w14:paraId="1025D233" w14:textId="77777777" w:rsidR="00E1799C" w:rsidRPr="00B350E5" w:rsidRDefault="00E1799C" w:rsidP="00592657">
      <w:pPr>
        <w:pStyle w:val="ListParagraph"/>
        <w:numPr>
          <w:ilvl w:val="0"/>
          <w:numId w:val="18"/>
        </w:numPr>
        <w:suppressAutoHyphens w:val="0"/>
        <w:spacing w:before="120" w:after="0"/>
        <w:ind w:left="1134"/>
        <w:contextualSpacing w:val="0"/>
        <w:rPr>
          <w:rFonts w:cs="Calibri"/>
          <w:color w:val="000000" w:themeColor="text1"/>
          <w:sz w:val="22"/>
          <w:szCs w:val="22"/>
        </w:rPr>
      </w:pPr>
      <w:hyperlink r:id="rId12" w:history="1">
        <w:r w:rsidRPr="00B350E5">
          <w:rPr>
            <w:rStyle w:val="Hyperlink"/>
            <w:rFonts w:cs="Calibri"/>
            <w:sz w:val="22"/>
            <w:szCs w:val="22"/>
          </w:rPr>
          <w:t>Executive Capabilities</w:t>
        </w:r>
      </w:hyperlink>
    </w:p>
    <w:p w14:paraId="0707DF80" w14:textId="3A380717" w:rsidR="00E1799C" w:rsidRPr="00B350E5" w:rsidRDefault="00E1799C" w:rsidP="00592657">
      <w:pPr>
        <w:pStyle w:val="ListParagraph"/>
        <w:numPr>
          <w:ilvl w:val="0"/>
          <w:numId w:val="18"/>
        </w:numPr>
        <w:suppressAutoHyphens w:val="0"/>
        <w:spacing w:before="120" w:after="0"/>
        <w:ind w:left="1134"/>
        <w:contextualSpacing w:val="0"/>
        <w:rPr>
          <w:rFonts w:cs="Calibri"/>
          <w:color w:val="000000" w:themeColor="text1"/>
          <w:sz w:val="22"/>
          <w:szCs w:val="22"/>
        </w:rPr>
      </w:pPr>
      <w:hyperlink r:id="rId13" w:history="1">
        <w:r w:rsidRPr="00B350E5">
          <w:rPr>
            <w:rStyle w:val="Hyperlink"/>
            <w:rFonts w:cs="Calibri"/>
            <w:sz w:val="22"/>
            <w:szCs w:val="22"/>
          </w:rPr>
          <w:t>Executive Capability – Implementing Closing the Gap Principle</w:t>
        </w:r>
      </w:hyperlink>
    </w:p>
    <w:p w14:paraId="746E1F3B" w14:textId="3ADE5542" w:rsidR="00592657" w:rsidRPr="00B350E5" w:rsidRDefault="00592657" w:rsidP="00500C0D">
      <w:pPr>
        <w:pStyle w:val="ListParagraph"/>
        <w:numPr>
          <w:ilvl w:val="0"/>
          <w:numId w:val="12"/>
        </w:numPr>
        <w:spacing w:before="120" w:after="0"/>
        <w:ind w:left="567" w:hanging="425"/>
        <w:contextualSpacing w:val="0"/>
        <w:rPr>
          <w:rFonts w:cs="Calibri"/>
          <w:color w:val="000000" w:themeColor="text1"/>
          <w:sz w:val="22"/>
          <w:szCs w:val="22"/>
        </w:rPr>
      </w:pPr>
      <w:r w:rsidRPr="00B350E5">
        <w:rPr>
          <w:rFonts w:cs="Calibri"/>
          <w:color w:val="000000" w:themeColor="text1"/>
          <w:sz w:val="22"/>
          <w:szCs w:val="22"/>
        </w:rPr>
        <w:t>Proven ability to inspire employees to embrace change and transformation.</w:t>
      </w:r>
    </w:p>
    <w:p w14:paraId="56B4468F" w14:textId="77777777" w:rsidR="0037623F" w:rsidRPr="00B350E5" w:rsidRDefault="0037623F" w:rsidP="0037623F">
      <w:pPr>
        <w:pStyle w:val="BodyText"/>
        <w:rPr>
          <w:rFonts w:cs="Calibri"/>
          <w:sz w:val="22"/>
          <w:szCs w:val="22"/>
        </w:rPr>
      </w:pPr>
    </w:p>
    <w:p w14:paraId="74F59095" w14:textId="77777777" w:rsidR="00BC3B64" w:rsidRPr="00B350E5" w:rsidRDefault="00BC3B64" w:rsidP="00BC3B64">
      <w:pPr>
        <w:pStyle w:val="Heading1"/>
        <w:jc w:val="both"/>
        <w:rPr>
          <w:rFonts w:cs="Calibri"/>
          <w:color w:val="000000" w:themeColor="text1"/>
          <w:sz w:val="32"/>
        </w:rPr>
      </w:pPr>
      <w:r w:rsidRPr="00B350E5">
        <w:rPr>
          <w:rFonts w:cs="Calibri"/>
          <w:color w:val="000000" w:themeColor="text1"/>
          <w:sz w:val="32"/>
        </w:rPr>
        <w:t>DIVERISTY</w:t>
      </w:r>
    </w:p>
    <w:p w14:paraId="0BB88ADC" w14:textId="77777777" w:rsidR="00BC3B64" w:rsidRPr="00B350E5" w:rsidRDefault="00BC3B64" w:rsidP="00BC3B64">
      <w:pPr>
        <w:pStyle w:val="BodyText"/>
        <w:rPr>
          <w:rFonts w:cs="Calibri"/>
          <w:sz w:val="22"/>
          <w:szCs w:val="22"/>
        </w:rPr>
      </w:pPr>
      <w:r w:rsidRPr="00B350E5">
        <w:rPr>
          <w:rFonts w:cs="Calibri"/>
          <w:sz w:val="22"/>
          <w:szCs w:val="22"/>
        </w:rPr>
        <w:t>People with a disability, women, Australians from culturally and linguistically diverse backgrounds, and Aboriginal and Torres Strait Islander people have an equal opportunity for appointment to this position.  An appropriate selection panel will be formed, or special needs addressed, if requested by a member of one of these groups.</w:t>
      </w:r>
    </w:p>
    <w:p w14:paraId="41B3CE99" w14:textId="77777777" w:rsidR="00BC3B64" w:rsidRPr="00B350E5" w:rsidRDefault="00BC3B64" w:rsidP="00BC3B64">
      <w:pPr>
        <w:pStyle w:val="BodyText"/>
        <w:rPr>
          <w:rFonts w:cs="Calibri"/>
          <w:sz w:val="22"/>
          <w:szCs w:val="22"/>
        </w:rPr>
      </w:pPr>
    </w:p>
    <w:p w14:paraId="6DD5F71F" w14:textId="77777777" w:rsidR="00BC3B64" w:rsidRPr="00BC3B64" w:rsidRDefault="00BC3B64" w:rsidP="00BC3B64">
      <w:pPr>
        <w:rPr>
          <w:lang w:eastAsia="ja-JP"/>
        </w:rPr>
        <w:sectPr w:rsidR="00BC3B64" w:rsidRPr="00BC3B64" w:rsidSect="00063272">
          <w:headerReference w:type="even" r:id="rId14"/>
          <w:footerReference w:type="even" r:id="rId15"/>
          <w:footerReference w:type="default" r:id="rId16"/>
          <w:headerReference w:type="first" r:id="rId17"/>
          <w:footerReference w:type="first" r:id="rId18"/>
          <w:type w:val="continuous"/>
          <w:pgSz w:w="11906" w:h="16838" w:code="9"/>
          <w:pgMar w:top="1134" w:right="1134" w:bottom="1418" w:left="1134" w:header="680" w:footer="686" w:gutter="0"/>
          <w:cols w:space="720"/>
          <w:docGrid w:linePitch="326"/>
        </w:sectPr>
      </w:pPr>
    </w:p>
    <w:p w14:paraId="6DD6158C" w14:textId="64AADFD8" w:rsidR="0037623F" w:rsidRPr="000A4C00" w:rsidRDefault="0037623F" w:rsidP="0037623F">
      <w:pPr>
        <w:pStyle w:val="Heading1"/>
        <w:jc w:val="both"/>
        <w:rPr>
          <w:rFonts w:cs="Calibri"/>
          <w:color w:val="000000" w:themeColor="text1"/>
          <w:sz w:val="32"/>
        </w:rPr>
      </w:pPr>
      <w:r w:rsidRPr="000A4C00">
        <w:rPr>
          <w:rFonts w:cs="Calibri"/>
          <w:color w:val="000000" w:themeColor="text1"/>
          <w:sz w:val="32"/>
        </w:rPr>
        <w:lastRenderedPageBreak/>
        <w:t>ORGANISATIONAL STRUCTURE</w:t>
      </w:r>
    </w:p>
    <w:p w14:paraId="51D6E3BF" w14:textId="77777777" w:rsidR="0037623F" w:rsidRPr="000A4C00" w:rsidRDefault="0037623F" w:rsidP="0037623F">
      <w:pPr>
        <w:pStyle w:val="BodyText"/>
        <w:rPr>
          <w:rFonts w:cs="Calibri"/>
          <w:sz w:val="22"/>
          <w:szCs w:val="22"/>
        </w:rPr>
      </w:pPr>
    </w:p>
    <w:p w14:paraId="717342C9" w14:textId="14515BD5" w:rsidR="0037623F" w:rsidRPr="000A4C00" w:rsidRDefault="001A285D" w:rsidP="0037623F">
      <w:pPr>
        <w:pStyle w:val="BodyText"/>
        <w:rPr>
          <w:rFonts w:cs="Calibri"/>
          <w:sz w:val="22"/>
          <w:szCs w:val="22"/>
        </w:rPr>
      </w:pPr>
      <w:r w:rsidRPr="001A285D">
        <w:rPr>
          <w:rFonts w:cs="Calibri"/>
          <w:noProof/>
          <w:sz w:val="22"/>
          <w:szCs w:val="22"/>
        </w:rPr>
        <w:drawing>
          <wp:inline distT="0" distB="0" distL="0" distR="0" wp14:anchorId="103CB9C6" wp14:editId="11300A7B">
            <wp:extent cx="9071610" cy="5155565"/>
            <wp:effectExtent l="0" t="0" r="0" b="26035"/>
            <wp:docPr id="1025757000" name="Diagram 1">
              <a:extLst xmlns:a="http://schemas.openxmlformats.org/drawingml/2006/main">
                <a:ext uri="{FF2B5EF4-FFF2-40B4-BE49-F238E27FC236}">
                  <a16:creationId xmlns:a16="http://schemas.microsoft.com/office/drawing/2014/main" id="{BBA67290-A8BF-EFEB-04D3-5DD0B4DCCD2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sectPr w:rsidR="0037623F" w:rsidRPr="000A4C00" w:rsidSect="000A4C00">
      <w:pgSz w:w="16838" w:h="11906" w:orient="landscape" w:code="9"/>
      <w:pgMar w:top="1134" w:right="1134" w:bottom="1134" w:left="1418" w:header="680" w:footer="68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2303B" w14:textId="77777777" w:rsidR="00C81F35" w:rsidRDefault="00C81F35" w:rsidP="00E45888">
      <w:r>
        <w:separator/>
      </w:r>
    </w:p>
  </w:endnote>
  <w:endnote w:type="continuationSeparator" w:id="0">
    <w:p w14:paraId="08B304A9" w14:textId="77777777" w:rsidR="00C81F35" w:rsidRDefault="00C81F35"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CB6A"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BAD9247"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245930335"/>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14:paraId="3EC77447" w14:textId="7CC77F00" w:rsidR="001F5D6C" w:rsidRPr="003C3BA4" w:rsidRDefault="000F0199" w:rsidP="003C3BA4">
            <w:pPr>
              <w:pStyle w:val="Footer"/>
              <w:jc w:val="center"/>
              <w:rPr>
                <w:rFonts w:asciiTheme="minorHAnsi" w:hAnsiTheme="minorHAnsi" w:cstheme="minorHAnsi"/>
                <w:sz w:val="22"/>
                <w:szCs w:val="22"/>
              </w:rPr>
            </w:pPr>
            <w:r w:rsidRPr="0052012A">
              <w:rPr>
                <w:rFonts w:asciiTheme="minorHAnsi" w:hAnsiTheme="minorHAnsi" w:cstheme="minorHAnsi"/>
                <w:sz w:val="22"/>
                <w:szCs w:val="22"/>
              </w:rPr>
              <w:t xml:space="preserve">Page </w:t>
            </w:r>
            <w:r w:rsidRPr="0052012A">
              <w:rPr>
                <w:rFonts w:asciiTheme="minorHAnsi" w:hAnsiTheme="minorHAnsi" w:cstheme="minorHAnsi"/>
                <w:b/>
                <w:bCs/>
                <w:sz w:val="22"/>
                <w:szCs w:val="22"/>
              </w:rPr>
              <w:fldChar w:fldCharType="begin"/>
            </w:r>
            <w:r w:rsidRPr="0052012A">
              <w:rPr>
                <w:rFonts w:asciiTheme="minorHAnsi" w:hAnsiTheme="minorHAnsi" w:cstheme="minorHAnsi"/>
                <w:b/>
                <w:bCs/>
                <w:sz w:val="22"/>
                <w:szCs w:val="22"/>
              </w:rPr>
              <w:instrText xml:space="preserve"> PAGE </w:instrText>
            </w:r>
            <w:r w:rsidRPr="0052012A">
              <w:rPr>
                <w:rFonts w:asciiTheme="minorHAnsi" w:hAnsiTheme="minorHAnsi" w:cstheme="minorHAnsi"/>
                <w:b/>
                <w:bCs/>
                <w:sz w:val="22"/>
                <w:szCs w:val="22"/>
              </w:rPr>
              <w:fldChar w:fldCharType="separate"/>
            </w:r>
            <w:r w:rsidRPr="0052012A">
              <w:rPr>
                <w:rFonts w:asciiTheme="minorHAnsi" w:hAnsiTheme="minorHAnsi" w:cstheme="minorHAnsi"/>
                <w:b/>
                <w:bCs/>
                <w:noProof/>
                <w:sz w:val="22"/>
                <w:szCs w:val="22"/>
              </w:rPr>
              <w:t>2</w:t>
            </w:r>
            <w:r w:rsidRPr="0052012A">
              <w:rPr>
                <w:rFonts w:asciiTheme="minorHAnsi" w:hAnsiTheme="minorHAnsi" w:cstheme="minorHAnsi"/>
                <w:b/>
                <w:bCs/>
                <w:sz w:val="22"/>
                <w:szCs w:val="22"/>
              </w:rPr>
              <w:fldChar w:fldCharType="end"/>
            </w:r>
            <w:r w:rsidRPr="0052012A">
              <w:rPr>
                <w:rFonts w:asciiTheme="minorHAnsi" w:hAnsiTheme="minorHAnsi" w:cstheme="minorHAnsi"/>
                <w:sz w:val="22"/>
                <w:szCs w:val="22"/>
              </w:rPr>
              <w:t xml:space="preserve"> of </w:t>
            </w:r>
            <w:r w:rsidRPr="0052012A">
              <w:rPr>
                <w:rFonts w:asciiTheme="minorHAnsi" w:hAnsiTheme="minorHAnsi" w:cstheme="minorHAnsi"/>
                <w:b/>
                <w:bCs/>
                <w:sz w:val="22"/>
                <w:szCs w:val="22"/>
              </w:rPr>
              <w:fldChar w:fldCharType="begin"/>
            </w:r>
            <w:r w:rsidRPr="0052012A">
              <w:rPr>
                <w:rFonts w:asciiTheme="minorHAnsi" w:hAnsiTheme="minorHAnsi" w:cstheme="minorHAnsi"/>
                <w:b/>
                <w:bCs/>
                <w:sz w:val="22"/>
                <w:szCs w:val="22"/>
              </w:rPr>
              <w:instrText xml:space="preserve"> NUMPAGES  </w:instrText>
            </w:r>
            <w:r w:rsidRPr="0052012A">
              <w:rPr>
                <w:rFonts w:asciiTheme="minorHAnsi" w:hAnsiTheme="minorHAnsi" w:cstheme="minorHAnsi"/>
                <w:b/>
                <w:bCs/>
                <w:sz w:val="22"/>
                <w:szCs w:val="22"/>
              </w:rPr>
              <w:fldChar w:fldCharType="separate"/>
            </w:r>
            <w:r w:rsidRPr="0052012A">
              <w:rPr>
                <w:rFonts w:asciiTheme="minorHAnsi" w:hAnsiTheme="minorHAnsi" w:cstheme="minorHAnsi"/>
                <w:b/>
                <w:bCs/>
                <w:noProof/>
                <w:sz w:val="22"/>
                <w:szCs w:val="22"/>
              </w:rPr>
              <w:t>2</w:t>
            </w:r>
            <w:r w:rsidRPr="0052012A">
              <w:rPr>
                <w:rFonts w:asciiTheme="minorHAnsi" w:hAnsiTheme="minorHAnsi" w:cstheme="minorHAnsi"/>
                <w:b/>
                <w:bCs/>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CA74"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8BAB667"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45FBB" w14:textId="77777777" w:rsidR="00C81F35" w:rsidRDefault="00C81F35" w:rsidP="00E45888">
      <w:r>
        <w:separator/>
      </w:r>
    </w:p>
  </w:footnote>
  <w:footnote w:type="continuationSeparator" w:id="0">
    <w:p w14:paraId="2F2A4A78" w14:textId="77777777" w:rsidR="00C81F35" w:rsidRDefault="00C81F35"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DE71"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4F7B8525"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75325"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5C6D561B"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722C5"/>
    <w:multiLevelType w:val="hybridMultilevel"/>
    <w:tmpl w:val="336883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796966"/>
    <w:multiLevelType w:val="hybridMultilevel"/>
    <w:tmpl w:val="B1C6986A"/>
    <w:lvl w:ilvl="0" w:tplc="0C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6E3907"/>
    <w:multiLevelType w:val="hybridMultilevel"/>
    <w:tmpl w:val="1EC4AD3E"/>
    <w:lvl w:ilvl="0" w:tplc="0C090001">
      <w:start w:val="1"/>
      <w:numFmt w:val="bullet"/>
      <w:lvlText w:val=""/>
      <w:lvlJc w:val="left"/>
      <w:pPr>
        <w:ind w:left="3763"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85C298B"/>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4252A3"/>
    <w:multiLevelType w:val="hybridMultilevel"/>
    <w:tmpl w:val="847854B2"/>
    <w:lvl w:ilvl="0" w:tplc="B0C0543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26259E"/>
    <w:multiLevelType w:val="hybridMultilevel"/>
    <w:tmpl w:val="F8D0C9F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F922E0"/>
    <w:multiLevelType w:val="hybridMultilevel"/>
    <w:tmpl w:val="3716B9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913118"/>
    <w:multiLevelType w:val="hybridMultilevel"/>
    <w:tmpl w:val="4E300B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1A3C00"/>
    <w:multiLevelType w:val="hybridMultilevel"/>
    <w:tmpl w:val="218E925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BB22F93"/>
    <w:multiLevelType w:val="hybridMultilevel"/>
    <w:tmpl w:val="1B9C8412"/>
    <w:lvl w:ilvl="0" w:tplc="3C503C98">
      <w:start w:val="1"/>
      <w:numFmt w:val="bullet"/>
      <w:lvlText w:val=""/>
      <w:lvlJc w:val="left"/>
      <w:pPr>
        <w:ind w:left="720" w:hanging="360"/>
      </w:pPr>
      <w:rPr>
        <w:rFonts w:ascii="Symbol" w:hAnsi="Symbol"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996895"/>
    <w:multiLevelType w:val="hybridMultilevel"/>
    <w:tmpl w:val="C156B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40E578A"/>
    <w:multiLevelType w:val="hybridMultilevel"/>
    <w:tmpl w:val="E102C3E6"/>
    <w:lvl w:ilvl="0" w:tplc="4E464B2C">
      <w:start w:val="1"/>
      <w:numFmt w:val="bullet"/>
      <w:lvlText w:val="o"/>
      <w:lvlJc w:val="left"/>
      <w:pPr>
        <w:ind w:left="3763" w:hanging="360"/>
      </w:pPr>
      <w:rPr>
        <w:rFonts w:ascii="Courier New" w:hAnsi="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D6A0C26"/>
    <w:multiLevelType w:val="hybridMultilevel"/>
    <w:tmpl w:val="FAF87E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22331226">
    <w:abstractNumId w:val="12"/>
  </w:num>
  <w:num w:numId="2" w16cid:durableId="529802036">
    <w:abstractNumId w:val="13"/>
  </w:num>
  <w:num w:numId="3" w16cid:durableId="1295678063">
    <w:abstractNumId w:val="1"/>
  </w:num>
  <w:num w:numId="4" w16cid:durableId="1481458440">
    <w:abstractNumId w:val="0"/>
  </w:num>
  <w:num w:numId="5" w16cid:durableId="2019261436">
    <w:abstractNumId w:val="18"/>
  </w:num>
  <w:num w:numId="6" w16cid:durableId="606041862">
    <w:abstractNumId w:val="7"/>
  </w:num>
  <w:num w:numId="7" w16cid:durableId="1802336123">
    <w:abstractNumId w:val="15"/>
  </w:num>
  <w:num w:numId="8" w16cid:durableId="297228959">
    <w:abstractNumId w:val="11"/>
  </w:num>
  <w:num w:numId="9" w16cid:durableId="2009483481">
    <w:abstractNumId w:val="5"/>
  </w:num>
  <w:num w:numId="10" w16cid:durableId="792017401">
    <w:abstractNumId w:val="9"/>
  </w:num>
  <w:num w:numId="11" w16cid:durableId="950237293">
    <w:abstractNumId w:val="14"/>
  </w:num>
  <w:num w:numId="12" w16cid:durableId="1362633310">
    <w:abstractNumId w:val="3"/>
  </w:num>
  <w:num w:numId="13" w16cid:durableId="1211770416">
    <w:abstractNumId w:val="3"/>
  </w:num>
  <w:num w:numId="14" w16cid:durableId="1671255710">
    <w:abstractNumId w:val="8"/>
  </w:num>
  <w:num w:numId="15" w16cid:durableId="1422485056">
    <w:abstractNumId w:val="17"/>
  </w:num>
  <w:num w:numId="16" w16cid:durableId="1749233571">
    <w:abstractNumId w:val="4"/>
  </w:num>
  <w:num w:numId="17" w16cid:durableId="213272625">
    <w:abstractNumId w:val="10"/>
  </w:num>
  <w:num w:numId="18" w16cid:durableId="220792591">
    <w:abstractNumId w:val="16"/>
  </w:num>
  <w:num w:numId="19" w16cid:durableId="2025207164">
    <w:abstractNumId w:val="2"/>
  </w:num>
  <w:num w:numId="20" w16cid:durableId="180265036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25CA"/>
    <w:rsid w:val="00015483"/>
    <w:rsid w:val="0001642D"/>
    <w:rsid w:val="00034905"/>
    <w:rsid w:val="00035AF9"/>
    <w:rsid w:val="00036182"/>
    <w:rsid w:val="00036679"/>
    <w:rsid w:val="00040CD3"/>
    <w:rsid w:val="00044187"/>
    <w:rsid w:val="00045437"/>
    <w:rsid w:val="000456E0"/>
    <w:rsid w:val="00045D17"/>
    <w:rsid w:val="000464A9"/>
    <w:rsid w:val="00051744"/>
    <w:rsid w:val="00057CF9"/>
    <w:rsid w:val="00061670"/>
    <w:rsid w:val="00063272"/>
    <w:rsid w:val="000713F3"/>
    <w:rsid w:val="00072674"/>
    <w:rsid w:val="00074DA8"/>
    <w:rsid w:val="00075C33"/>
    <w:rsid w:val="0007744B"/>
    <w:rsid w:val="00083084"/>
    <w:rsid w:val="00083295"/>
    <w:rsid w:val="00085A3B"/>
    <w:rsid w:val="0008633A"/>
    <w:rsid w:val="00090C5A"/>
    <w:rsid w:val="00094562"/>
    <w:rsid w:val="000A3882"/>
    <w:rsid w:val="000A4C00"/>
    <w:rsid w:val="000A5186"/>
    <w:rsid w:val="000B622C"/>
    <w:rsid w:val="000C010B"/>
    <w:rsid w:val="000C3654"/>
    <w:rsid w:val="000C452E"/>
    <w:rsid w:val="000D6DB4"/>
    <w:rsid w:val="000E2939"/>
    <w:rsid w:val="000E2CCF"/>
    <w:rsid w:val="000E639E"/>
    <w:rsid w:val="000E75CD"/>
    <w:rsid w:val="000F0199"/>
    <w:rsid w:val="000F2684"/>
    <w:rsid w:val="000F2688"/>
    <w:rsid w:val="000F3435"/>
    <w:rsid w:val="0010052B"/>
    <w:rsid w:val="001131BE"/>
    <w:rsid w:val="00114CE0"/>
    <w:rsid w:val="00124F35"/>
    <w:rsid w:val="00127312"/>
    <w:rsid w:val="00141185"/>
    <w:rsid w:val="001429A6"/>
    <w:rsid w:val="001501F0"/>
    <w:rsid w:val="0015056D"/>
    <w:rsid w:val="00150DC5"/>
    <w:rsid w:val="001552C6"/>
    <w:rsid w:val="00156530"/>
    <w:rsid w:val="00160D2A"/>
    <w:rsid w:val="001615CA"/>
    <w:rsid w:val="0016557C"/>
    <w:rsid w:val="00166318"/>
    <w:rsid w:val="0016790E"/>
    <w:rsid w:val="00173D1A"/>
    <w:rsid w:val="00173E02"/>
    <w:rsid w:val="0017746E"/>
    <w:rsid w:val="00183A2A"/>
    <w:rsid w:val="00185003"/>
    <w:rsid w:val="001905C2"/>
    <w:rsid w:val="001948AD"/>
    <w:rsid w:val="00196DC8"/>
    <w:rsid w:val="0019717E"/>
    <w:rsid w:val="001973B7"/>
    <w:rsid w:val="001A12DC"/>
    <w:rsid w:val="001A285D"/>
    <w:rsid w:val="001A36F2"/>
    <w:rsid w:val="001B306F"/>
    <w:rsid w:val="001B4119"/>
    <w:rsid w:val="001B546A"/>
    <w:rsid w:val="001C206E"/>
    <w:rsid w:val="001C373C"/>
    <w:rsid w:val="001C74C9"/>
    <w:rsid w:val="001C7CEE"/>
    <w:rsid w:val="001D0161"/>
    <w:rsid w:val="001D0BB4"/>
    <w:rsid w:val="001D284A"/>
    <w:rsid w:val="001D2953"/>
    <w:rsid w:val="001D2E4F"/>
    <w:rsid w:val="001D7CDE"/>
    <w:rsid w:val="001E49C0"/>
    <w:rsid w:val="001E5640"/>
    <w:rsid w:val="001E7405"/>
    <w:rsid w:val="001F0167"/>
    <w:rsid w:val="001F2C45"/>
    <w:rsid w:val="001F5D6C"/>
    <w:rsid w:val="001F76A4"/>
    <w:rsid w:val="002014E5"/>
    <w:rsid w:val="00204473"/>
    <w:rsid w:val="0020493E"/>
    <w:rsid w:val="0021016E"/>
    <w:rsid w:val="002113B4"/>
    <w:rsid w:val="0021151E"/>
    <w:rsid w:val="002137D7"/>
    <w:rsid w:val="00214732"/>
    <w:rsid w:val="002162C2"/>
    <w:rsid w:val="00220092"/>
    <w:rsid w:val="002208B2"/>
    <w:rsid w:val="0022484E"/>
    <w:rsid w:val="0022677F"/>
    <w:rsid w:val="0023024E"/>
    <w:rsid w:val="00231B57"/>
    <w:rsid w:val="002342BA"/>
    <w:rsid w:val="0023640E"/>
    <w:rsid w:val="0024005B"/>
    <w:rsid w:val="00243603"/>
    <w:rsid w:val="002458AD"/>
    <w:rsid w:val="00245EE5"/>
    <w:rsid w:val="00252449"/>
    <w:rsid w:val="00252F5C"/>
    <w:rsid w:val="0026001C"/>
    <w:rsid w:val="002627FA"/>
    <w:rsid w:val="00262DEE"/>
    <w:rsid w:val="0027094B"/>
    <w:rsid w:val="00271701"/>
    <w:rsid w:val="00272F0B"/>
    <w:rsid w:val="002756D8"/>
    <w:rsid w:val="00275F5C"/>
    <w:rsid w:val="00282E5F"/>
    <w:rsid w:val="002840E6"/>
    <w:rsid w:val="00284D8B"/>
    <w:rsid w:val="00285B53"/>
    <w:rsid w:val="002909FF"/>
    <w:rsid w:val="00290E50"/>
    <w:rsid w:val="00290FAD"/>
    <w:rsid w:val="00292E8F"/>
    <w:rsid w:val="00295705"/>
    <w:rsid w:val="00295829"/>
    <w:rsid w:val="00295A38"/>
    <w:rsid w:val="002A0C3B"/>
    <w:rsid w:val="002A43D2"/>
    <w:rsid w:val="002A49EE"/>
    <w:rsid w:val="002A74F6"/>
    <w:rsid w:val="002B1194"/>
    <w:rsid w:val="002B297D"/>
    <w:rsid w:val="002B2CEB"/>
    <w:rsid w:val="002B3372"/>
    <w:rsid w:val="002B4318"/>
    <w:rsid w:val="002C0600"/>
    <w:rsid w:val="002C41BC"/>
    <w:rsid w:val="002D07A1"/>
    <w:rsid w:val="002D2873"/>
    <w:rsid w:val="002D2A0D"/>
    <w:rsid w:val="002D7271"/>
    <w:rsid w:val="002D7380"/>
    <w:rsid w:val="002E6343"/>
    <w:rsid w:val="002E78B8"/>
    <w:rsid w:val="002F0510"/>
    <w:rsid w:val="002F3365"/>
    <w:rsid w:val="002F6471"/>
    <w:rsid w:val="002F69C3"/>
    <w:rsid w:val="0030018B"/>
    <w:rsid w:val="0030208D"/>
    <w:rsid w:val="003020B5"/>
    <w:rsid w:val="00303AA9"/>
    <w:rsid w:val="00304C83"/>
    <w:rsid w:val="00304D1A"/>
    <w:rsid w:val="00305A5F"/>
    <w:rsid w:val="00305C82"/>
    <w:rsid w:val="00306ED0"/>
    <w:rsid w:val="003072D2"/>
    <w:rsid w:val="0031523D"/>
    <w:rsid w:val="00315FA6"/>
    <w:rsid w:val="00316CCF"/>
    <w:rsid w:val="00326758"/>
    <w:rsid w:val="00327679"/>
    <w:rsid w:val="00333152"/>
    <w:rsid w:val="00334F25"/>
    <w:rsid w:val="00335A3B"/>
    <w:rsid w:val="0033768C"/>
    <w:rsid w:val="0034001F"/>
    <w:rsid w:val="00344845"/>
    <w:rsid w:val="003461EF"/>
    <w:rsid w:val="00347432"/>
    <w:rsid w:val="00350170"/>
    <w:rsid w:val="0035537A"/>
    <w:rsid w:val="00356DD0"/>
    <w:rsid w:val="00360769"/>
    <w:rsid w:val="003660FD"/>
    <w:rsid w:val="00366983"/>
    <w:rsid w:val="00367185"/>
    <w:rsid w:val="00367C98"/>
    <w:rsid w:val="00372B86"/>
    <w:rsid w:val="00373FED"/>
    <w:rsid w:val="003743B3"/>
    <w:rsid w:val="00376230"/>
    <w:rsid w:val="0037623F"/>
    <w:rsid w:val="00383EF3"/>
    <w:rsid w:val="00384332"/>
    <w:rsid w:val="00385DF3"/>
    <w:rsid w:val="0039040A"/>
    <w:rsid w:val="00392AFC"/>
    <w:rsid w:val="00394A71"/>
    <w:rsid w:val="00394A89"/>
    <w:rsid w:val="003958AF"/>
    <w:rsid w:val="00395E36"/>
    <w:rsid w:val="003A3785"/>
    <w:rsid w:val="003B006B"/>
    <w:rsid w:val="003B00AF"/>
    <w:rsid w:val="003B36A7"/>
    <w:rsid w:val="003B659B"/>
    <w:rsid w:val="003B79A8"/>
    <w:rsid w:val="003B7B87"/>
    <w:rsid w:val="003C1577"/>
    <w:rsid w:val="003C3BA4"/>
    <w:rsid w:val="003C6108"/>
    <w:rsid w:val="003C6256"/>
    <w:rsid w:val="003C7D2C"/>
    <w:rsid w:val="003D04A3"/>
    <w:rsid w:val="003D23E4"/>
    <w:rsid w:val="003D422A"/>
    <w:rsid w:val="003E7336"/>
    <w:rsid w:val="00402D13"/>
    <w:rsid w:val="004061F4"/>
    <w:rsid w:val="00410BF0"/>
    <w:rsid w:val="004121AA"/>
    <w:rsid w:val="004133A0"/>
    <w:rsid w:val="00414DBC"/>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3E1A"/>
    <w:rsid w:val="00474D11"/>
    <w:rsid w:val="00475504"/>
    <w:rsid w:val="0048031B"/>
    <w:rsid w:val="00480812"/>
    <w:rsid w:val="00481829"/>
    <w:rsid w:val="00481BE9"/>
    <w:rsid w:val="0048530A"/>
    <w:rsid w:val="00486402"/>
    <w:rsid w:val="00486ED4"/>
    <w:rsid w:val="00492EAA"/>
    <w:rsid w:val="00492EE9"/>
    <w:rsid w:val="00493773"/>
    <w:rsid w:val="00495B39"/>
    <w:rsid w:val="004A2C60"/>
    <w:rsid w:val="004A3822"/>
    <w:rsid w:val="004A5A47"/>
    <w:rsid w:val="004A7311"/>
    <w:rsid w:val="004B32D2"/>
    <w:rsid w:val="004B6444"/>
    <w:rsid w:val="004C1716"/>
    <w:rsid w:val="004C6C23"/>
    <w:rsid w:val="004D1154"/>
    <w:rsid w:val="004D5F8A"/>
    <w:rsid w:val="004E3049"/>
    <w:rsid w:val="004F046D"/>
    <w:rsid w:val="004F2565"/>
    <w:rsid w:val="004F3F6F"/>
    <w:rsid w:val="004F4613"/>
    <w:rsid w:val="004F46AC"/>
    <w:rsid w:val="00501757"/>
    <w:rsid w:val="00505A6D"/>
    <w:rsid w:val="00507949"/>
    <w:rsid w:val="00510567"/>
    <w:rsid w:val="00514711"/>
    <w:rsid w:val="005148FB"/>
    <w:rsid w:val="0052012A"/>
    <w:rsid w:val="0052245D"/>
    <w:rsid w:val="0053083B"/>
    <w:rsid w:val="00534471"/>
    <w:rsid w:val="00536C34"/>
    <w:rsid w:val="00541C41"/>
    <w:rsid w:val="005466BD"/>
    <w:rsid w:val="0054727B"/>
    <w:rsid w:val="00550D46"/>
    <w:rsid w:val="0055314F"/>
    <w:rsid w:val="00553A65"/>
    <w:rsid w:val="0055729E"/>
    <w:rsid w:val="00561454"/>
    <w:rsid w:val="005672F5"/>
    <w:rsid w:val="00573D58"/>
    <w:rsid w:val="00576FB9"/>
    <w:rsid w:val="00582863"/>
    <w:rsid w:val="0058419A"/>
    <w:rsid w:val="00584463"/>
    <w:rsid w:val="005861A6"/>
    <w:rsid w:val="00587DFD"/>
    <w:rsid w:val="00592657"/>
    <w:rsid w:val="005A0982"/>
    <w:rsid w:val="005A0F3B"/>
    <w:rsid w:val="005A5D64"/>
    <w:rsid w:val="005A70F8"/>
    <w:rsid w:val="005B38C8"/>
    <w:rsid w:val="005B39D3"/>
    <w:rsid w:val="005B442D"/>
    <w:rsid w:val="005B4948"/>
    <w:rsid w:val="005B56A8"/>
    <w:rsid w:val="005B6994"/>
    <w:rsid w:val="005B7C35"/>
    <w:rsid w:val="005C0381"/>
    <w:rsid w:val="005C290A"/>
    <w:rsid w:val="005C2940"/>
    <w:rsid w:val="005C2BFC"/>
    <w:rsid w:val="005C391C"/>
    <w:rsid w:val="005D4959"/>
    <w:rsid w:val="005D4EDB"/>
    <w:rsid w:val="005D5063"/>
    <w:rsid w:val="005E0077"/>
    <w:rsid w:val="005E2EBD"/>
    <w:rsid w:val="005E4E9D"/>
    <w:rsid w:val="005E73E4"/>
    <w:rsid w:val="005F1480"/>
    <w:rsid w:val="005F1A2B"/>
    <w:rsid w:val="005F1B26"/>
    <w:rsid w:val="00601827"/>
    <w:rsid w:val="00602EA7"/>
    <w:rsid w:val="006030D0"/>
    <w:rsid w:val="00604AD4"/>
    <w:rsid w:val="00604B5C"/>
    <w:rsid w:val="006079B0"/>
    <w:rsid w:val="00613953"/>
    <w:rsid w:val="00613F74"/>
    <w:rsid w:val="00615AC8"/>
    <w:rsid w:val="00615D88"/>
    <w:rsid w:val="00621532"/>
    <w:rsid w:val="00622D9B"/>
    <w:rsid w:val="00624D29"/>
    <w:rsid w:val="00626AEC"/>
    <w:rsid w:val="006316FD"/>
    <w:rsid w:val="00632F57"/>
    <w:rsid w:val="00634E13"/>
    <w:rsid w:val="00641A8B"/>
    <w:rsid w:val="00644CDF"/>
    <w:rsid w:val="006522B3"/>
    <w:rsid w:val="00653FBE"/>
    <w:rsid w:val="00654B16"/>
    <w:rsid w:val="00661329"/>
    <w:rsid w:val="006616A2"/>
    <w:rsid w:val="006620B4"/>
    <w:rsid w:val="00664117"/>
    <w:rsid w:val="00665693"/>
    <w:rsid w:val="00666999"/>
    <w:rsid w:val="00670FDE"/>
    <w:rsid w:val="00676EE5"/>
    <w:rsid w:val="006822CC"/>
    <w:rsid w:val="00685107"/>
    <w:rsid w:val="006869CB"/>
    <w:rsid w:val="006873BA"/>
    <w:rsid w:val="006912A5"/>
    <w:rsid w:val="00694924"/>
    <w:rsid w:val="0069634D"/>
    <w:rsid w:val="006A159D"/>
    <w:rsid w:val="006A37D6"/>
    <w:rsid w:val="006B4423"/>
    <w:rsid w:val="006B5CD6"/>
    <w:rsid w:val="006C102C"/>
    <w:rsid w:val="006C3FCC"/>
    <w:rsid w:val="006C46B3"/>
    <w:rsid w:val="006C7246"/>
    <w:rsid w:val="006C74CE"/>
    <w:rsid w:val="006D1B2B"/>
    <w:rsid w:val="006E453E"/>
    <w:rsid w:val="006F04E8"/>
    <w:rsid w:val="006F09E8"/>
    <w:rsid w:val="006F5B26"/>
    <w:rsid w:val="007010FB"/>
    <w:rsid w:val="00701A46"/>
    <w:rsid w:val="0070501B"/>
    <w:rsid w:val="00705A67"/>
    <w:rsid w:val="007117A5"/>
    <w:rsid w:val="00712EF1"/>
    <w:rsid w:val="00714998"/>
    <w:rsid w:val="00715C75"/>
    <w:rsid w:val="00717620"/>
    <w:rsid w:val="00717B1B"/>
    <w:rsid w:val="0072498E"/>
    <w:rsid w:val="00725A09"/>
    <w:rsid w:val="00727237"/>
    <w:rsid w:val="007350EE"/>
    <w:rsid w:val="00736E8E"/>
    <w:rsid w:val="00740043"/>
    <w:rsid w:val="00741575"/>
    <w:rsid w:val="007471D6"/>
    <w:rsid w:val="00751B52"/>
    <w:rsid w:val="00752742"/>
    <w:rsid w:val="00753085"/>
    <w:rsid w:val="00757A24"/>
    <w:rsid w:val="00764EF4"/>
    <w:rsid w:val="007658A4"/>
    <w:rsid w:val="007716AE"/>
    <w:rsid w:val="00773EDB"/>
    <w:rsid w:val="007774E5"/>
    <w:rsid w:val="00785E2D"/>
    <w:rsid w:val="007965B6"/>
    <w:rsid w:val="007B23B6"/>
    <w:rsid w:val="007B271A"/>
    <w:rsid w:val="007B4877"/>
    <w:rsid w:val="007C029B"/>
    <w:rsid w:val="007C03C0"/>
    <w:rsid w:val="007C257B"/>
    <w:rsid w:val="007C2764"/>
    <w:rsid w:val="007C3C7C"/>
    <w:rsid w:val="007C40E2"/>
    <w:rsid w:val="007C6689"/>
    <w:rsid w:val="007C7F29"/>
    <w:rsid w:val="007D0013"/>
    <w:rsid w:val="007D254B"/>
    <w:rsid w:val="007D5393"/>
    <w:rsid w:val="007E23ED"/>
    <w:rsid w:val="007E2694"/>
    <w:rsid w:val="007E396F"/>
    <w:rsid w:val="007E3B64"/>
    <w:rsid w:val="007E4124"/>
    <w:rsid w:val="007F088F"/>
    <w:rsid w:val="007F332D"/>
    <w:rsid w:val="007F686A"/>
    <w:rsid w:val="007F7649"/>
    <w:rsid w:val="00801577"/>
    <w:rsid w:val="00801DAF"/>
    <w:rsid w:val="00802C7D"/>
    <w:rsid w:val="00810089"/>
    <w:rsid w:val="00810EDB"/>
    <w:rsid w:val="008136E0"/>
    <w:rsid w:val="00814878"/>
    <w:rsid w:val="0081506B"/>
    <w:rsid w:val="0081518C"/>
    <w:rsid w:val="00816ACF"/>
    <w:rsid w:val="00820354"/>
    <w:rsid w:val="00822088"/>
    <w:rsid w:val="00822ED9"/>
    <w:rsid w:val="00826084"/>
    <w:rsid w:val="00827843"/>
    <w:rsid w:val="008310FA"/>
    <w:rsid w:val="00832206"/>
    <w:rsid w:val="00833776"/>
    <w:rsid w:val="008343E7"/>
    <w:rsid w:val="0083521F"/>
    <w:rsid w:val="00842D46"/>
    <w:rsid w:val="00847407"/>
    <w:rsid w:val="00847C64"/>
    <w:rsid w:val="00853027"/>
    <w:rsid w:val="00854A71"/>
    <w:rsid w:val="0085512F"/>
    <w:rsid w:val="0085751D"/>
    <w:rsid w:val="00860D79"/>
    <w:rsid w:val="008612C8"/>
    <w:rsid w:val="00865A4F"/>
    <w:rsid w:val="008707DA"/>
    <w:rsid w:val="00873FE1"/>
    <w:rsid w:val="008778EF"/>
    <w:rsid w:val="00887553"/>
    <w:rsid w:val="00891901"/>
    <w:rsid w:val="00891B44"/>
    <w:rsid w:val="008927F6"/>
    <w:rsid w:val="008A4066"/>
    <w:rsid w:val="008B22B1"/>
    <w:rsid w:val="008C40B5"/>
    <w:rsid w:val="008C4982"/>
    <w:rsid w:val="008C5432"/>
    <w:rsid w:val="008D0A3E"/>
    <w:rsid w:val="008D1EA2"/>
    <w:rsid w:val="008D2E2D"/>
    <w:rsid w:val="008E20DD"/>
    <w:rsid w:val="008E3ED7"/>
    <w:rsid w:val="008E4109"/>
    <w:rsid w:val="008E5749"/>
    <w:rsid w:val="008E704D"/>
    <w:rsid w:val="008F0135"/>
    <w:rsid w:val="008F29AC"/>
    <w:rsid w:val="008F53EF"/>
    <w:rsid w:val="008F78B3"/>
    <w:rsid w:val="009020BE"/>
    <w:rsid w:val="00906854"/>
    <w:rsid w:val="00910A68"/>
    <w:rsid w:val="009110F7"/>
    <w:rsid w:val="0091264C"/>
    <w:rsid w:val="00914F3E"/>
    <w:rsid w:val="0091504C"/>
    <w:rsid w:val="00917324"/>
    <w:rsid w:val="00917A43"/>
    <w:rsid w:val="00917AED"/>
    <w:rsid w:val="00921435"/>
    <w:rsid w:val="00925679"/>
    <w:rsid w:val="00925D84"/>
    <w:rsid w:val="00927AFF"/>
    <w:rsid w:val="009304D0"/>
    <w:rsid w:val="00931430"/>
    <w:rsid w:val="00933DEE"/>
    <w:rsid w:val="0093491F"/>
    <w:rsid w:val="00934C54"/>
    <w:rsid w:val="009361F4"/>
    <w:rsid w:val="00944B05"/>
    <w:rsid w:val="009468CB"/>
    <w:rsid w:val="00951EF1"/>
    <w:rsid w:val="00956BB9"/>
    <w:rsid w:val="0097715C"/>
    <w:rsid w:val="00982A27"/>
    <w:rsid w:val="00986862"/>
    <w:rsid w:val="00987C48"/>
    <w:rsid w:val="00994DEA"/>
    <w:rsid w:val="009B1D24"/>
    <w:rsid w:val="009B25AF"/>
    <w:rsid w:val="009B3A9E"/>
    <w:rsid w:val="009B4408"/>
    <w:rsid w:val="009B56B6"/>
    <w:rsid w:val="009B61FE"/>
    <w:rsid w:val="009B7A0E"/>
    <w:rsid w:val="009B7A62"/>
    <w:rsid w:val="009C02F2"/>
    <w:rsid w:val="009C2D41"/>
    <w:rsid w:val="009C544A"/>
    <w:rsid w:val="009C7A6B"/>
    <w:rsid w:val="009D329B"/>
    <w:rsid w:val="009D33ED"/>
    <w:rsid w:val="009D46E6"/>
    <w:rsid w:val="009D6C8B"/>
    <w:rsid w:val="009E0BC2"/>
    <w:rsid w:val="009E1DD3"/>
    <w:rsid w:val="009E635F"/>
    <w:rsid w:val="009E6689"/>
    <w:rsid w:val="009E69AB"/>
    <w:rsid w:val="009F5427"/>
    <w:rsid w:val="00A0134E"/>
    <w:rsid w:val="00A05107"/>
    <w:rsid w:val="00A05E7F"/>
    <w:rsid w:val="00A1194D"/>
    <w:rsid w:val="00A13839"/>
    <w:rsid w:val="00A14031"/>
    <w:rsid w:val="00A167E9"/>
    <w:rsid w:val="00A21EA2"/>
    <w:rsid w:val="00A25992"/>
    <w:rsid w:val="00A30549"/>
    <w:rsid w:val="00A31D1D"/>
    <w:rsid w:val="00A331E5"/>
    <w:rsid w:val="00A358FA"/>
    <w:rsid w:val="00A4199B"/>
    <w:rsid w:val="00A42B6C"/>
    <w:rsid w:val="00A46AF3"/>
    <w:rsid w:val="00A65C75"/>
    <w:rsid w:val="00A6799C"/>
    <w:rsid w:val="00A67D9A"/>
    <w:rsid w:val="00A67EFD"/>
    <w:rsid w:val="00A67FDF"/>
    <w:rsid w:val="00A70BBD"/>
    <w:rsid w:val="00A71574"/>
    <w:rsid w:val="00A75FA8"/>
    <w:rsid w:val="00A81E05"/>
    <w:rsid w:val="00A8290A"/>
    <w:rsid w:val="00A82BCC"/>
    <w:rsid w:val="00A940E8"/>
    <w:rsid w:val="00A965B2"/>
    <w:rsid w:val="00A96D5D"/>
    <w:rsid w:val="00A97920"/>
    <w:rsid w:val="00AA11A5"/>
    <w:rsid w:val="00AA5EBD"/>
    <w:rsid w:val="00AA7690"/>
    <w:rsid w:val="00AB26D3"/>
    <w:rsid w:val="00AB2DC4"/>
    <w:rsid w:val="00AB6B4E"/>
    <w:rsid w:val="00AC1E3C"/>
    <w:rsid w:val="00AC42C3"/>
    <w:rsid w:val="00AD0DB6"/>
    <w:rsid w:val="00AD698B"/>
    <w:rsid w:val="00AE18C4"/>
    <w:rsid w:val="00AE1C14"/>
    <w:rsid w:val="00AE1F56"/>
    <w:rsid w:val="00AE293C"/>
    <w:rsid w:val="00AE3735"/>
    <w:rsid w:val="00AE5D2C"/>
    <w:rsid w:val="00AE5DB5"/>
    <w:rsid w:val="00AE7101"/>
    <w:rsid w:val="00AF1222"/>
    <w:rsid w:val="00AF7B6E"/>
    <w:rsid w:val="00B00C0D"/>
    <w:rsid w:val="00B10AE6"/>
    <w:rsid w:val="00B12647"/>
    <w:rsid w:val="00B13E6E"/>
    <w:rsid w:val="00B14F71"/>
    <w:rsid w:val="00B16D45"/>
    <w:rsid w:val="00B1764A"/>
    <w:rsid w:val="00B2384D"/>
    <w:rsid w:val="00B24A25"/>
    <w:rsid w:val="00B266D2"/>
    <w:rsid w:val="00B34F4E"/>
    <w:rsid w:val="00B350E5"/>
    <w:rsid w:val="00B41628"/>
    <w:rsid w:val="00B43BC0"/>
    <w:rsid w:val="00B45C3A"/>
    <w:rsid w:val="00B47585"/>
    <w:rsid w:val="00B51CD4"/>
    <w:rsid w:val="00B51D2B"/>
    <w:rsid w:val="00B51FFB"/>
    <w:rsid w:val="00B52740"/>
    <w:rsid w:val="00B54281"/>
    <w:rsid w:val="00B54FF1"/>
    <w:rsid w:val="00B60BC4"/>
    <w:rsid w:val="00B6117A"/>
    <w:rsid w:val="00B6194A"/>
    <w:rsid w:val="00B66DAD"/>
    <w:rsid w:val="00B7075A"/>
    <w:rsid w:val="00B70BC7"/>
    <w:rsid w:val="00B74516"/>
    <w:rsid w:val="00B76AEC"/>
    <w:rsid w:val="00B814CB"/>
    <w:rsid w:val="00B82278"/>
    <w:rsid w:val="00B827DE"/>
    <w:rsid w:val="00B8391D"/>
    <w:rsid w:val="00B84FEE"/>
    <w:rsid w:val="00B8750B"/>
    <w:rsid w:val="00B9039C"/>
    <w:rsid w:val="00B92E18"/>
    <w:rsid w:val="00B95A91"/>
    <w:rsid w:val="00B963BC"/>
    <w:rsid w:val="00BA6411"/>
    <w:rsid w:val="00BB6A5F"/>
    <w:rsid w:val="00BB6A80"/>
    <w:rsid w:val="00BB7CA4"/>
    <w:rsid w:val="00BC022B"/>
    <w:rsid w:val="00BC1638"/>
    <w:rsid w:val="00BC3B64"/>
    <w:rsid w:val="00BD6F9D"/>
    <w:rsid w:val="00BE3949"/>
    <w:rsid w:val="00BE45BF"/>
    <w:rsid w:val="00BE6C14"/>
    <w:rsid w:val="00BF4AC7"/>
    <w:rsid w:val="00BF50AE"/>
    <w:rsid w:val="00BF60C6"/>
    <w:rsid w:val="00BF6527"/>
    <w:rsid w:val="00BF6947"/>
    <w:rsid w:val="00C03BA9"/>
    <w:rsid w:val="00C0471B"/>
    <w:rsid w:val="00C11089"/>
    <w:rsid w:val="00C133A3"/>
    <w:rsid w:val="00C14B96"/>
    <w:rsid w:val="00C15B5E"/>
    <w:rsid w:val="00C20A96"/>
    <w:rsid w:val="00C21902"/>
    <w:rsid w:val="00C24139"/>
    <w:rsid w:val="00C34784"/>
    <w:rsid w:val="00C347CD"/>
    <w:rsid w:val="00C34B50"/>
    <w:rsid w:val="00C363C4"/>
    <w:rsid w:val="00C365EF"/>
    <w:rsid w:val="00C36633"/>
    <w:rsid w:val="00C42B6A"/>
    <w:rsid w:val="00C43765"/>
    <w:rsid w:val="00C451CB"/>
    <w:rsid w:val="00C51FDA"/>
    <w:rsid w:val="00C53893"/>
    <w:rsid w:val="00C55CD2"/>
    <w:rsid w:val="00C565DC"/>
    <w:rsid w:val="00C5687B"/>
    <w:rsid w:val="00C60047"/>
    <w:rsid w:val="00C60369"/>
    <w:rsid w:val="00C62CDF"/>
    <w:rsid w:val="00C63771"/>
    <w:rsid w:val="00C63BEA"/>
    <w:rsid w:val="00C63F3A"/>
    <w:rsid w:val="00C645BE"/>
    <w:rsid w:val="00C7059A"/>
    <w:rsid w:val="00C75A36"/>
    <w:rsid w:val="00C75EFD"/>
    <w:rsid w:val="00C81F35"/>
    <w:rsid w:val="00C91044"/>
    <w:rsid w:val="00C944C2"/>
    <w:rsid w:val="00CA359C"/>
    <w:rsid w:val="00CB04A5"/>
    <w:rsid w:val="00CB23BA"/>
    <w:rsid w:val="00CB2FA2"/>
    <w:rsid w:val="00CC51A4"/>
    <w:rsid w:val="00CC6993"/>
    <w:rsid w:val="00CD3133"/>
    <w:rsid w:val="00CE1AEA"/>
    <w:rsid w:val="00CE32CB"/>
    <w:rsid w:val="00CE45AB"/>
    <w:rsid w:val="00CE4EF3"/>
    <w:rsid w:val="00CF0B73"/>
    <w:rsid w:val="00CF5813"/>
    <w:rsid w:val="00CF7791"/>
    <w:rsid w:val="00CF7E61"/>
    <w:rsid w:val="00D01554"/>
    <w:rsid w:val="00D0239B"/>
    <w:rsid w:val="00D0479D"/>
    <w:rsid w:val="00D10DDC"/>
    <w:rsid w:val="00D14203"/>
    <w:rsid w:val="00D1468D"/>
    <w:rsid w:val="00D172F9"/>
    <w:rsid w:val="00D175D8"/>
    <w:rsid w:val="00D20031"/>
    <w:rsid w:val="00D2304F"/>
    <w:rsid w:val="00D23188"/>
    <w:rsid w:val="00D2559E"/>
    <w:rsid w:val="00D25B82"/>
    <w:rsid w:val="00D272F0"/>
    <w:rsid w:val="00D43403"/>
    <w:rsid w:val="00D451A6"/>
    <w:rsid w:val="00D50DA6"/>
    <w:rsid w:val="00D544FB"/>
    <w:rsid w:val="00D54D08"/>
    <w:rsid w:val="00D573A3"/>
    <w:rsid w:val="00D610BD"/>
    <w:rsid w:val="00D62871"/>
    <w:rsid w:val="00D628E1"/>
    <w:rsid w:val="00D65E93"/>
    <w:rsid w:val="00D66353"/>
    <w:rsid w:val="00D737F9"/>
    <w:rsid w:val="00D75169"/>
    <w:rsid w:val="00D76DAA"/>
    <w:rsid w:val="00D77C23"/>
    <w:rsid w:val="00D96AAB"/>
    <w:rsid w:val="00D97205"/>
    <w:rsid w:val="00D97AFF"/>
    <w:rsid w:val="00DA3768"/>
    <w:rsid w:val="00DA4E54"/>
    <w:rsid w:val="00DA6E33"/>
    <w:rsid w:val="00DA77DB"/>
    <w:rsid w:val="00DB320B"/>
    <w:rsid w:val="00DC0DD4"/>
    <w:rsid w:val="00DC1ADD"/>
    <w:rsid w:val="00DC1F6C"/>
    <w:rsid w:val="00DC2FF8"/>
    <w:rsid w:val="00DC3343"/>
    <w:rsid w:val="00DC36A6"/>
    <w:rsid w:val="00DC5F70"/>
    <w:rsid w:val="00DC68FB"/>
    <w:rsid w:val="00DD053C"/>
    <w:rsid w:val="00DD195C"/>
    <w:rsid w:val="00DD2BC6"/>
    <w:rsid w:val="00DD3461"/>
    <w:rsid w:val="00DD47F9"/>
    <w:rsid w:val="00DD59BC"/>
    <w:rsid w:val="00DD6689"/>
    <w:rsid w:val="00DE3037"/>
    <w:rsid w:val="00DF02E2"/>
    <w:rsid w:val="00DF344C"/>
    <w:rsid w:val="00DF46B4"/>
    <w:rsid w:val="00DF6C54"/>
    <w:rsid w:val="00E0581D"/>
    <w:rsid w:val="00E059B1"/>
    <w:rsid w:val="00E06429"/>
    <w:rsid w:val="00E11CED"/>
    <w:rsid w:val="00E160EF"/>
    <w:rsid w:val="00E177DB"/>
    <w:rsid w:val="00E1799C"/>
    <w:rsid w:val="00E242E5"/>
    <w:rsid w:val="00E36F7D"/>
    <w:rsid w:val="00E4183E"/>
    <w:rsid w:val="00E43160"/>
    <w:rsid w:val="00E45888"/>
    <w:rsid w:val="00E500F4"/>
    <w:rsid w:val="00E50CB8"/>
    <w:rsid w:val="00E513E1"/>
    <w:rsid w:val="00E57678"/>
    <w:rsid w:val="00E64264"/>
    <w:rsid w:val="00E66219"/>
    <w:rsid w:val="00E662A3"/>
    <w:rsid w:val="00E71055"/>
    <w:rsid w:val="00E7588A"/>
    <w:rsid w:val="00E80AE9"/>
    <w:rsid w:val="00E82313"/>
    <w:rsid w:val="00E83374"/>
    <w:rsid w:val="00E873C4"/>
    <w:rsid w:val="00E87B6A"/>
    <w:rsid w:val="00E97A2C"/>
    <w:rsid w:val="00EA6D12"/>
    <w:rsid w:val="00EB0DAE"/>
    <w:rsid w:val="00EB1248"/>
    <w:rsid w:val="00EB131B"/>
    <w:rsid w:val="00EB33E8"/>
    <w:rsid w:val="00EB3BC0"/>
    <w:rsid w:val="00EB3F11"/>
    <w:rsid w:val="00EB59A3"/>
    <w:rsid w:val="00EB76C6"/>
    <w:rsid w:val="00EB777E"/>
    <w:rsid w:val="00EC5BAD"/>
    <w:rsid w:val="00EC7F5A"/>
    <w:rsid w:val="00ED04D8"/>
    <w:rsid w:val="00ED156A"/>
    <w:rsid w:val="00ED2B07"/>
    <w:rsid w:val="00ED49CC"/>
    <w:rsid w:val="00ED638F"/>
    <w:rsid w:val="00ED798F"/>
    <w:rsid w:val="00EF1299"/>
    <w:rsid w:val="00F02E9F"/>
    <w:rsid w:val="00F10165"/>
    <w:rsid w:val="00F15A25"/>
    <w:rsid w:val="00F1669D"/>
    <w:rsid w:val="00F20919"/>
    <w:rsid w:val="00F236E2"/>
    <w:rsid w:val="00F300DE"/>
    <w:rsid w:val="00F308F0"/>
    <w:rsid w:val="00F312A2"/>
    <w:rsid w:val="00F322AA"/>
    <w:rsid w:val="00F34460"/>
    <w:rsid w:val="00F36F2D"/>
    <w:rsid w:val="00F43DC5"/>
    <w:rsid w:val="00F44AE9"/>
    <w:rsid w:val="00F517A9"/>
    <w:rsid w:val="00F533E7"/>
    <w:rsid w:val="00F55B9D"/>
    <w:rsid w:val="00F56AB9"/>
    <w:rsid w:val="00F60676"/>
    <w:rsid w:val="00F62F0E"/>
    <w:rsid w:val="00F63605"/>
    <w:rsid w:val="00F66B23"/>
    <w:rsid w:val="00F705E7"/>
    <w:rsid w:val="00F71A3F"/>
    <w:rsid w:val="00F76210"/>
    <w:rsid w:val="00F7692D"/>
    <w:rsid w:val="00F775E8"/>
    <w:rsid w:val="00F862C7"/>
    <w:rsid w:val="00F863CF"/>
    <w:rsid w:val="00F87427"/>
    <w:rsid w:val="00F948C8"/>
    <w:rsid w:val="00F94966"/>
    <w:rsid w:val="00F95573"/>
    <w:rsid w:val="00FA7EBD"/>
    <w:rsid w:val="00FB019C"/>
    <w:rsid w:val="00FB36C8"/>
    <w:rsid w:val="00FB5C3A"/>
    <w:rsid w:val="00FD14C3"/>
    <w:rsid w:val="00FD2E2F"/>
    <w:rsid w:val="00FD53A5"/>
    <w:rsid w:val="00FD57E8"/>
    <w:rsid w:val="00FD5A4A"/>
    <w:rsid w:val="00FD5F46"/>
    <w:rsid w:val="00FD689C"/>
    <w:rsid w:val="00FE3CB6"/>
    <w:rsid w:val="00FE3DE1"/>
    <w:rsid w:val="00FF0930"/>
    <w:rsid w:val="00FF32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72B86"/>
    <w:pPr>
      <w:keepNext/>
      <w:keepLines/>
      <w:outlineLvl w:val="1"/>
    </w:pPr>
    <w:rPr>
      <w:rFonts w:eastAsia="Times" w:cs="Calibri"/>
      <w:b/>
      <w:noProof/>
      <w:color w:val="000000" w:themeColor="text1"/>
      <w:lang w:val="en-US"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72B86"/>
    <w:rPr>
      <w:rFonts w:eastAsia="Times" w:cs="Calibri"/>
      <w:b/>
      <w:noProof/>
      <w:color w:val="000000" w:themeColor="text1"/>
      <w:sz w:val="24"/>
      <w:szCs w:val="24"/>
      <w:lang w:val="en-US"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Bullet point,Bulle"/>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99"/>
    <w:rsid w:val="00456927"/>
  </w:style>
  <w:style w:type="character" w:customStyle="1" w:styleId="BodyTextChar">
    <w:name w:val="Body Text Char"/>
    <w:link w:val="BodyText"/>
    <w:uiPriority w:val="99"/>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3E7336"/>
    <w:rPr>
      <w:rFonts w:cs="Arial"/>
      <w:sz w:val="24"/>
      <w:szCs w:val="24"/>
    </w:rPr>
  </w:style>
  <w:style w:type="character" w:styleId="UnresolvedMention">
    <w:name w:val="Unresolved Mention"/>
    <w:basedOn w:val="DefaultParagraphFont"/>
    <w:uiPriority w:val="99"/>
    <w:semiHidden/>
    <w:unhideWhenUsed/>
    <w:rsid w:val="00AE1F56"/>
    <w:rPr>
      <w:color w:val="605E5C"/>
      <w:shd w:val="clear" w:color="auto" w:fill="E1DFDD"/>
    </w:rPr>
  </w:style>
  <w:style w:type="paragraph" w:styleId="Revision">
    <w:name w:val="Revision"/>
    <w:hidden/>
    <w:uiPriority w:val="99"/>
    <w:semiHidden/>
    <w:rsid w:val="00613953"/>
    <w:rPr>
      <w:rFonts w:cs="Arial"/>
      <w:sz w:val="24"/>
      <w:szCs w:val="24"/>
    </w:rPr>
  </w:style>
  <w:style w:type="character" w:customStyle="1" w:styleId="ui-provider">
    <w:name w:val="ui-provider"/>
    <w:basedOn w:val="DefaultParagraphFont"/>
    <w:rsid w:val="000E2CCF"/>
  </w:style>
  <w:style w:type="paragraph" w:styleId="BodyText2">
    <w:name w:val="Body Text 2"/>
    <w:basedOn w:val="Normal"/>
    <w:link w:val="BodyText2Char"/>
    <w:uiPriority w:val="99"/>
    <w:unhideWhenUsed/>
    <w:rsid w:val="00ED49CC"/>
    <w:pPr>
      <w:spacing w:line="480" w:lineRule="auto"/>
    </w:pPr>
  </w:style>
  <w:style w:type="character" w:customStyle="1" w:styleId="BodyText2Char">
    <w:name w:val="Body Text 2 Char"/>
    <w:basedOn w:val="DefaultParagraphFont"/>
    <w:link w:val="BodyText2"/>
    <w:uiPriority w:val="99"/>
    <w:rsid w:val="00ED49CC"/>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549734695">
      <w:bodyDiv w:val="1"/>
      <w:marLeft w:val="0"/>
      <w:marRight w:val="0"/>
      <w:marTop w:val="0"/>
      <w:marBottom w:val="0"/>
      <w:divBdr>
        <w:top w:val="none" w:sz="0" w:space="0" w:color="auto"/>
        <w:left w:val="none" w:sz="0" w:space="0" w:color="auto"/>
        <w:bottom w:val="none" w:sz="0" w:space="0" w:color="auto"/>
        <w:right w:val="none" w:sz="0" w:space="0" w:color="auto"/>
      </w:divBdr>
    </w:div>
    <w:div w:id="568542963">
      <w:bodyDiv w:val="1"/>
      <w:marLeft w:val="0"/>
      <w:marRight w:val="0"/>
      <w:marTop w:val="0"/>
      <w:marBottom w:val="0"/>
      <w:divBdr>
        <w:top w:val="none" w:sz="0" w:space="0" w:color="auto"/>
        <w:left w:val="none" w:sz="0" w:space="0" w:color="auto"/>
        <w:bottom w:val="none" w:sz="0" w:space="0" w:color="auto"/>
        <w:right w:val="none" w:sz="0" w:space="0" w:color="auto"/>
      </w:divBdr>
    </w:div>
    <w:div w:id="786966738">
      <w:bodyDiv w:val="1"/>
      <w:marLeft w:val="0"/>
      <w:marRight w:val="0"/>
      <w:marTop w:val="0"/>
      <w:marBottom w:val="0"/>
      <w:divBdr>
        <w:top w:val="none" w:sz="0" w:space="0" w:color="auto"/>
        <w:left w:val="none" w:sz="0" w:space="0" w:color="auto"/>
        <w:bottom w:val="none" w:sz="0" w:space="0" w:color="auto"/>
        <w:right w:val="none" w:sz="0" w:space="0" w:color="auto"/>
      </w:divBdr>
    </w:div>
    <w:div w:id="1095203825">
      <w:bodyDiv w:val="1"/>
      <w:marLeft w:val="0"/>
      <w:marRight w:val="0"/>
      <w:marTop w:val="0"/>
      <w:marBottom w:val="0"/>
      <w:divBdr>
        <w:top w:val="none" w:sz="0" w:space="0" w:color="auto"/>
        <w:left w:val="none" w:sz="0" w:space="0" w:color="auto"/>
        <w:bottom w:val="none" w:sz="0" w:space="0" w:color="auto"/>
        <w:right w:val="none" w:sz="0" w:space="0" w:color="auto"/>
      </w:divBdr>
    </w:div>
    <w:div w:id="1113211871">
      <w:bodyDiv w:val="1"/>
      <w:marLeft w:val="0"/>
      <w:marRight w:val="0"/>
      <w:marTop w:val="0"/>
      <w:marBottom w:val="0"/>
      <w:divBdr>
        <w:top w:val="none" w:sz="0" w:space="0" w:color="auto"/>
        <w:left w:val="none" w:sz="0" w:space="0" w:color="auto"/>
        <w:bottom w:val="none" w:sz="0" w:space="0" w:color="auto"/>
        <w:right w:val="none" w:sz="0" w:space="0" w:color="auto"/>
      </w:divBdr>
    </w:div>
    <w:div w:id="1713724843">
      <w:bodyDiv w:val="1"/>
      <w:marLeft w:val="0"/>
      <w:marRight w:val="0"/>
      <w:marTop w:val="0"/>
      <w:marBottom w:val="0"/>
      <w:divBdr>
        <w:top w:val="none" w:sz="0" w:space="0" w:color="auto"/>
        <w:left w:val="none" w:sz="0" w:space="0" w:color="auto"/>
        <w:bottom w:val="none" w:sz="0" w:space="0" w:color="auto"/>
        <w:right w:val="none" w:sz="0" w:space="0" w:color="auto"/>
      </w:divBdr>
    </w:div>
    <w:div w:id="1895459875">
      <w:bodyDiv w:val="1"/>
      <w:marLeft w:val="0"/>
      <w:marRight w:val="0"/>
      <w:marTop w:val="0"/>
      <w:marBottom w:val="0"/>
      <w:divBdr>
        <w:top w:val="none" w:sz="0" w:space="0" w:color="auto"/>
        <w:left w:val="none" w:sz="0" w:space="0" w:color="auto"/>
        <w:bottom w:val="none" w:sz="0" w:space="0" w:color="auto"/>
        <w:right w:val="none" w:sz="0" w:space="0" w:color="auto"/>
      </w:divBdr>
    </w:div>
    <w:div w:id="212765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mtedd.act.gov.au/__data/assets/pdf_file/0007/3091480/Executive-Capabilities-Implementing-Closing-the-Gap-Principle.pdf"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diagramQuickStyle" Target="diagrams/quickStyle1.xml"/><Relationship Id="rId7" Type="http://schemas.openxmlformats.org/officeDocument/2006/relationships/image" Target="media/image1.png"/><Relationship Id="rId12" Type="http://schemas.openxmlformats.org/officeDocument/2006/relationships/hyperlink" Target="https://www.cmtedd.act.gov.au/__data/assets/pdf_file/0005/3091478/Executive-Capabilities.pdf"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mtedd.act.gov.au/__data/assets/pdf_file/0003/3091476/Executive-Handbook.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microsoft.com/office/2007/relationships/diagramDrawing" Target="diagrams/drawing1.xml"/><Relationship Id="rId10" Type="http://schemas.openxmlformats.org/officeDocument/2006/relationships/hyperlink" Target="https://www.act.gov.au/open/closing-the-gap" TargetMode="External"/><Relationship Id="rId19"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yperlink" Target="https://actgovernment.sharepoint.com/sites/intranet-ClosingTheGapCulturalCapability" TargetMode="External"/><Relationship Id="rId14" Type="http://schemas.openxmlformats.org/officeDocument/2006/relationships/header" Target="header1.xml"/><Relationship Id="rId22"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5D74E1-5493-43C4-AEF6-E0DEA03F6D2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AU"/>
        </a:p>
      </dgm:t>
    </dgm:pt>
    <dgm:pt modelId="{D830A6D8-FB2A-4F7F-9DF0-0494B02C410B}">
      <dgm:prSet phldrT="[Text]" phldr="0"/>
      <dgm:spPr/>
      <dgm:t>
        <a:bodyPr/>
        <a:lstStyle/>
        <a:p>
          <a:r>
            <a:rPr lang="en-AU" dirty="0"/>
            <a:t>Chief Executive Officer</a:t>
          </a:r>
        </a:p>
      </dgm:t>
    </dgm:pt>
    <dgm:pt modelId="{35113E62-81EF-45C3-9405-123ECEB779F0}" type="parTrans" cxnId="{1F7C0647-21A4-4656-B449-F5075EFA2ADE}">
      <dgm:prSet/>
      <dgm:spPr/>
      <dgm:t>
        <a:bodyPr/>
        <a:lstStyle/>
        <a:p>
          <a:endParaRPr lang="en-AU"/>
        </a:p>
      </dgm:t>
    </dgm:pt>
    <dgm:pt modelId="{43F5206D-E21D-413F-85C2-2FACD1B1A41B}" type="sibTrans" cxnId="{1F7C0647-21A4-4656-B449-F5075EFA2ADE}">
      <dgm:prSet/>
      <dgm:spPr/>
      <dgm:t>
        <a:bodyPr/>
        <a:lstStyle/>
        <a:p>
          <a:endParaRPr lang="en-AU"/>
        </a:p>
      </dgm:t>
    </dgm:pt>
    <dgm:pt modelId="{24DFE283-6964-40D6-9067-76DE741F522D}">
      <dgm:prSet phldrT="[Text]" phldr="0"/>
      <dgm:spPr/>
      <dgm:t>
        <a:bodyPr/>
        <a:lstStyle/>
        <a:p>
          <a:r>
            <a:rPr lang="en-AU" dirty="0"/>
            <a:t>Executive Branch Manager, Corporate and Strategic Services</a:t>
          </a:r>
        </a:p>
      </dgm:t>
    </dgm:pt>
    <dgm:pt modelId="{2214F6F3-9B12-40F0-90C6-6B0ACF42CCC7}" type="parTrans" cxnId="{70CD2FF4-7F8C-420C-8789-4DC3D944920B}">
      <dgm:prSet/>
      <dgm:spPr/>
      <dgm:t>
        <a:bodyPr/>
        <a:lstStyle/>
        <a:p>
          <a:endParaRPr lang="en-AU"/>
        </a:p>
      </dgm:t>
    </dgm:pt>
    <dgm:pt modelId="{E9159F4A-A6AC-47D9-B99D-B104D371C557}" type="sibTrans" cxnId="{70CD2FF4-7F8C-420C-8789-4DC3D944920B}">
      <dgm:prSet/>
      <dgm:spPr/>
      <dgm:t>
        <a:bodyPr/>
        <a:lstStyle/>
        <a:p>
          <a:endParaRPr lang="en-AU"/>
        </a:p>
      </dgm:t>
    </dgm:pt>
    <dgm:pt modelId="{017AC5E7-CA2F-400C-9195-7E673F135A48}">
      <dgm:prSet phldrT="[Text]"/>
      <dgm:spPr/>
      <dgm:t>
        <a:bodyPr/>
        <a:lstStyle/>
        <a:p>
          <a:r>
            <a:rPr lang="en-AU" dirty="0"/>
            <a:t>Executive Director, ACTCT Modernisation Program</a:t>
          </a:r>
        </a:p>
      </dgm:t>
    </dgm:pt>
    <dgm:pt modelId="{A04F6DFF-B832-4605-A38D-FD03C6527806}" type="parTrans" cxnId="{C82A19A5-DDB5-4476-AA68-0E8B6D8447D1}">
      <dgm:prSet/>
      <dgm:spPr/>
      <dgm:t>
        <a:bodyPr/>
        <a:lstStyle/>
        <a:p>
          <a:endParaRPr lang="en-AU"/>
        </a:p>
      </dgm:t>
    </dgm:pt>
    <dgm:pt modelId="{3EAF6A1F-CC21-415F-A903-2E25B7B5562C}" type="sibTrans" cxnId="{C82A19A5-DDB5-4476-AA68-0E8B6D8447D1}">
      <dgm:prSet/>
      <dgm:spPr/>
      <dgm:t>
        <a:bodyPr/>
        <a:lstStyle/>
        <a:p>
          <a:endParaRPr lang="en-AU"/>
        </a:p>
      </dgm:t>
    </dgm:pt>
    <dgm:pt modelId="{108E3A45-5555-4FF4-9D05-B912F8E354FC}">
      <dgm:prSet phldrT="[Text]"/>
      <dgm:spPr/>
      <dgm:t>
        <a:bodyPr/>
        <a:lstStyle/>
        <a:p>
          <a:r>
            <a:rPr lang="en-AU" dirty="0"/>
            <a:t>Project Manager</a:t>
          </a:r>
        </a:p>
        <a:p>
          <a:r>
            <a:rPr lang="en-AU" dirty="0"/>
            <a:t>(1 FTE)</a:t>
          </a:r>
        </a:p>
      </dgm:t>
    </dgm:pt>
    <dgm:pt modelId="{A00A36F5-553E-4F3D-8070-89F31AFD29BF}" type="parTrans" cxnId="{27AF2CE4-20C7-41CA-A72A-D4E3C4600EC9}">
      <dgm:prSet/>
      <dgm:spPr/>
      <dgm:t>
        <a:bodyPr/>
        <a:lstStyle/>
        <a:p>
          <a:endParaRPr lang="en-AU"/>
        </a:p>
      </dgm:t>
    </dgm:pt>
    <dgm:pt modelId="{9DA8F786-5BB4-4A2F-A737-DB64CED3FFFF}" type="sibTrans" cxnId="{27AF2CE4-20C7-41CA-A72A-D4E3C4600EC9}">
      <dgm:prSet/>
      <dgm:spPr/>
      <dgm:t>
        <a:bodyPr/>
        <a:lstStyle/>
        <a:p>
          <a:endParaRPr lang="en-AU"/>
        </a:p>
      </dgm:t>
    </dgm:pt>
    <dgm:pt modelId="{C4D69F15-03E9-43F2-B18D-031809792FC4}">
      <dgm:prSet phldrT="[Text]"/>
      <dgm:spPr/>
      <dgm:t>
        <a:bodyPr/>
        <a:lstStyle/>
        <a:p>
          <a:r>
            <a:rPr lang="en-AU" dirty="0"/>
            <a:t>Change Manager</a:t>
          </a:r>
        </a:p>
        <a:p>
          <a:r>
            <a:rPr lang="en-AU" dirty="0"/>
            <a:t>(2 FTE)</a:t>
          </a:r>
        </a:p>
      </dgm:t>
    </dgm:pt>
    <dgm:pt modelId="{18382552-36EC-4B54-98FB-B0A8A7C55DCC}" type="parTrans" cxnId="{A0F85C47-30EF-430C-8AA7-5C2459F70125}">
      <dgm:prSet/>
      <dgm:spPr/>
      <dgm:t>
        <a:bodyPr/>
        <a:lstStyle/>
        <a:p>
          <a:endParaRPr lang="en-AU"/>
        </a:p>
      </dgm:t>
    </dgm:pt>
    <dgm:pt modelId="{25779D51-3FF4-4C06-97CF-D1D0954D23EC}" type="sibTrans" cxnId="{A0F85C47-30EF-430C-8AA7-5C2459F70125}">
      <dgm:prSet/>
      <dgm:spPr/>
      <dgm:t>
        <a:bodyPr/>
        <a:lstStyle/>
        <a:p>
          <a:endParaRPr lang="en-AU"/>
        </a:p>
      </dgm:t>
    </dgm:pt>
    <dgm:pt modelId="{378CDC79-8EA8-498D-8C70-68EBE6235792}">
      <dgm:prSet phldrT="[Text]"/>
      <dgm:spPr/>
      <dgm:t>
        <a:bodyPr/>
        <a:lstStyle/>
        <a:p>
          <a:r>
            <a:rPr lang="en-AU" dirty="0"/>
            <a:t>Legal 3</a:t>
          </a:r>
        </a:p>
        <a:p>
          <a:r>
            <a:rPr lang="en-AU" dirty="0"/>
            <a:t>(3 FTE)</a:t>
          </a:r>
        </a:p>
      </dgm:t>
    </dgm:pt>
    <dgm:pt modelId="{E6169D44-99CF-4194-9338-0D96A695EC7A}" type="parTrans" cxnId="{3F39BF46-6C38-43A1-B8A9-3EA1E07CEF17}">
      <dgm:prSet/>
      <dgm:spPr/>
      <dgm:t>
        <a:bodyPr/>
        <a:lstStyle/>
        <a:p>
          <a:endParaRPr lang="en-AU"/>
        </a:p>
      </dgm:t>
    </dgm:pt>
    <dgm:pt modelId="{93CB0A1C-4DB8-4D0C-A14C-0483B8F2A75E}" type="sibTrans" cxnId="{3F39BF46-6C38-43A1-B8A9-3EA1E07CEF17}">
      <dgm:prSet/>
      <dgm:spPr/>
      <dgm:t>
        <a:bodyPr/>
        <a:lstStyle/>
        <a:p>
          <a:endParaRPr lang="en-AU"/>
        </a:p>
      </dgm:t>
    </dgm:pt>
    <dgm:pt modelId="{CF45EA44-AD36-4A2F-8F0A-6AF0BD04F816}" type="pres">
      <dgm:prSet presAssocID="{AD5D74E1-5493-43C4-AEF6-E0DEA03F6D2F}" presName="hierChild1" presStyleCnt="0">
        <dgm:presLayoutVars>
          <dgm:orgChart val="1"/>
          <dgm:chPref val="1"/>
          <dgm:dir/>
          <dgm:animOne val="branch"/>
          <dgm:animLvl val="lvl"/>
          <dgm:resizeHandles/>
        </dgm:presLayoutVars>
      </dgm:prSet>
      <dgm:spPr/>
    </dgm:pt>
    <dgm:pt modelId="{6CCCC1D5-6BB1-4C16-952D-C68D00D8F00D}" type="pres">
      <dgm:prSet presAssocID="{D830A6D8-FB2A-4F7F-9DF0-0494B02C410B}" presName="hierRoot1" presStyleCnt="0">
        <dgm:presLayoutVars>
          <dgm:hierBranch val="init"/>
        </dgm:presLayoutVars>
      </dgm:prSet>
      <dgm:spPr/>
    </dgm:pt>
    <dgm:pt modelId="{9C507561-C5F1-4066-9223-0A8CF11E96E0}" type="pres">
      <dgm:prSet presAssocID="{D830A6D8-FB2A-4F7F-9DF0-0494B02C410B}" presName="rootComposite1" presStyleCnt="0"/>
      <dgm:spPr/>
    </dgm:pt>
    <dgm:pt modelId="{0BEA0F96-37AA-4BFA-AF53-42794710BE56}" type="pres">
      <dgm:prSet presAssocID="{D830A6D8-FB2A-4F7F-9DF0-0494B02C410B}" presName="rootText1" presStyleLbl="node0" presStyleIdx="0" presStyleCnt="1" custScaleX="122068">
        <dgm:presLayoutVars>
          <dgm:chPref val="3"/>
        </dgm:presLayoutVars>
      </dgm:prSet>
      <dgm:spPr/>
    </dgm:pt>
    <dgm:pt modelId="{77C73F94-E4E4-4EF2-8922-56EDFB4045F3}" type="pres">
      <dgm:prSet presAssocID="{D830A6D8-FB2A-4F7F-9DF0-0494B02C410B}" presName="rootConnector1" presStyleLbl="node1" presStyleIdx="0" presStyleCnt="0"/>
      <dgm:spPr/>
    </dgm:pt>
    <dgm:pt modelId="{B3C67999-596D-48A3-843F-61A4C74B99A2}" type="pres">
      <dgm:prSet presAssocID="{D830A6D8-FB2A-4F7F-9DF0-0494B02C410B}" presName="hierChild2" presStyleCnt="0"/>
      <dgm:spPr/>
    </dgm:pt>
    <dgm:pt modelId="{B24592C5-3D37-4CA8-BEF1-378DC8B1E740}" type="pres">
      <dgm:prSet presAssocID="{2214F6F3-9B12-40F0-90C6-6B0ACF42CCC7}" presName="Name37" presStyleLbl="parChTrans1D2" presStyleIdx="0" presStyleCnt="1"/>
      <dgm:spPr/>
    </dgm:pt>
    <dgm:pt modelId="{66F4A793-A042-4A07-8C9C-11606699328B}" type="pres">
      <dgm:prSet presAssocID="{24DFE283-6964-40D6-9067-76DE741F522D}" presName="hierRoot2" presStyleCnt="0">
        <dgm:presLayoutVars>
          <dgm:hierBranch val="init"/>
        </dgm:presLayoutVars>
      </dgm:prSet>
      <dgm:spPr/>
    </dgm:pt>
    <dgm:pt modelId="{F6244FE6-36C8-43BF-A38E-5C0C55D7BA64}" type="pres">
      <dgm:prSet presAssocID="{24DFE283-6964-40D6-9067-76DE741F522D}" presName="rootComposite" presStyleCnt="0"/>
      <dgm:spPr/>
    </dgm:pt>
    <dgm:pt modelId="{5723ADBB-4129-4F0E-80CF-7C8717CA4EBE}" type="pres">
      <dgm:prSet presAssocID="{24DFE283-6964-40D6-9067-76DE741F522D}" presName="rootText" presStyleLbl="node2" presStyleIdx="0" presStyleCnt="1" custScaleX="122068">
        <dgm:presLayoutVars>
          <dgm:chPref val="3"/>
        </dgm:presLayoutVars>
      </dgm:prSet>
      <dgm:spPr/>
    </dgm:pt>
    <dgm:pt modelId="{9FE1C11E-23EF-4CC5-B03C-6E5A2D0D39C3}" type="pres">
      <dgm:prSet presAssocID="{24DFE283-6964-40D6-9067-76DE741F522D}" presName="rootConnector" presStyleLbl="node2" presStyleIdx="0" presStyleCnt="1"/>
      <dgm:spPr/>
    </dgm:pt>
    <dgm:pt modelId="{C3C8806C-DAB2-4E03-972F-FBA91E5DA2EF}" type="pres">
      <dgm:prSet presAssocID="{24DFE283-6964-40D6-9067-76DE741F522D}" presName="hierChild4" presStyleCnt="0"/>
      <dgm:spPr/>
    </dgm:pt>
    <dgm:pt modelId="{FA60CCE6-1CC1-4B50-874C-DB10E7DF33DC}" type="pres">
      <dgm:prSet presAssocID="{A04F6DFF-B832-4605-A38D-FD03C6527806}" presName="Name37" presStyleLbl="parChTrans1D3" presStyleIdx="0" presStyleCnt="1"/>
      <dgm:spPr/>
    </dgm:pt>
    <dgm:pt modelId="{7BBCFE99-E623-4862-B8FF-6B6923FCDA41}" type="pres">
      <dgm:prSet presAssocID="{017AC5E7-CA2F-400C-9195-7E673F135A48}" presName="hierRoot2" presStyleCnt="0">
        <dgm:presLayoutVars>
          <dgm:hierBranch val="init"/>
        </dgm:presLayoutVars>
      </dgm:prSet>
      <dgm:spPr/>
    </dgm:pt>
    <dgm:pt modelId="{16FE0BDD-E70A-4C00-B6B4-639AEC6B4E86}" type="pres">
      <dgm:prSet presAssocID="{017AC5E7-CA2F-400C-9195-7E673F135A48}" presName="rootComposite" presStyleCnt="0"/>
      <dgm:spPr/>
    </dgm:pt>
    <dgm:pt modelId="{54FAE57D-1C50-4AD8-995C-45618B89D397}" type="pres">
      <dgm:prSet presAssocID="{017AC5E7-CA2F-400C-9195-7E673F135A48}" presName="rootText" presStyleLbl="node3" presStyleIdx="0" presStyleCnt="1" custScaleX="122068">
        <dgm:presLayoutVars>
          <dgm:chPref val="3"/>
        </dgm:presLayoutVars>
      </dgm:prSet>
      <dgm:spPr/>
    </dgm:pt>
    <dgm:pt modelId="{97F3F746-73B3-4044-AA90-2F004CC2F0DC}" type="pres">
      <dgm:prSet presAssocID="{017AC5E7-CA2F-400C-9195-7E673F135A48}" presName="rootConnector" presStyleLbl="node3" presStyleIdx="0" presStyleCnt="1"/>
      <dgm:spPr/>
    </dgm:pt>
    <dgm:pt modelId="{CA32D975-8501-4BBF-B5B0-59BA1001102A}" type="pres">
      <dgm:prSet presAssocID="{017AC5E7-CA2F-400C-9195-7E673F135A48}" presName="hierChild4" presStyleCnt="0"/>
      <dgm:spPr/>
    </dgm:pt>
    <dgm:pt modelId="{0115B757-C921-4B81-A4EA-6B2BE970B5A9}" type="pres">
      <dgm:prSet presAssocID="{A00A36F5-553E-4F3D-8070-89F31AFD29BF}" presName="Name37" presStyleLbl="parChTrans1D4" presStyleIdx="0" presStyleCnt="3"/>
      <dgm:spPr/>
    </dgm:pt>
    <dgm:pt modelId="{4DD2B2DC-BC1D-4563-A40F-D5123F6FA979}" type="pres">
      <dgm:prSet presAssocID="{108E3A45-5555-4FF4-9D05-B912F8E354FC}" presName="hierRoot2" presStyleCnt="0">
        <dgm:presLayoutVars>
          <dgm:hierBranch val="init"/>
        </dgm:presLayoutVars>
      </dgm:prSet>
      <dgm:spPr/>
    </dgm:pt>
    <dgm:pt modelId="{2E695D29-EBEF-491F-8C85-A3A1E77BFE42}" type="pres">
      <dgm:prSet presAssocID="{108E3A45-5555-4FF4-9D05-B912F8E354FC}" presName="rootComposite" presStyleCnt="0"/>
      <dgm:spPr/>
    </dgm:pt>
    <dgm:pt modelId="{E52CBA52-4A66-4FB2-B323-CB6DBDD9BB11}" type="pres">
      <dgm:prSet presAssocID="{108E3A45-5555-4FF4-9D05-B912F8E354FC}" presName="rootText" presStyleLbl="node4" presStyleIdx="0" presStyleCnt="3" custScaleX="122068">
        <dgm:presLayoutVars>
          <dgm:chPref val="3"/>
        </dgm:presLayoutVars>
      </dgm:prSet>
      <dgm:spPr/>
    </dgm:pt>
    <dgm:pt modelId="{98B4B433-0A2D-4F3F-960F-B75DB9BD7FC3}" type="pres">
      <dgm:prSet presAssocID="{108E3A45-5555-4FF4-9D05-B912F8E354FC}" presName="rootConnector" presStyleLbl="node4" presStyleIdx="0" presStyleCnt="3"/>
      <dgm:spPr/>
    </dgm:pt>
    <dgm:pt modelId="{E7187D90-D07A-483B-B8A1-6C74259C8D00}" type="pres">
      <dgm:prSet presAssocID="{108E3A45-5555-4FF4-9D05-B912F8E354FC}" presName="hierChild4" presStyleCnt="0"/>
      <dgm:spPr/>
    </dgm:pt>
    <dgm:pt modelId="{4BF3A662-CB03-42C9-A3EB-491C8CEB2E8B}" type="pres">
      <dgm:prSet presAssocID="{108E3A45-5555-4FF4-9D05-B912F8E354FC}" presName="hierChild5" presStyleCnt="0"/>
      <dgm:spPr/>
    </dgm:pt>
    <dgm:pt modelId="{1171D433-D49D-4A50-8580-B3F4769DF3EC}" type="pres">
      <dgm:prSet presAssocID="{18382552-36EC-4B54-98FB-B0A8A7C55DCC}" presName="Name37" presStyleLbl="parChTrans1D4" presStyleIdx="1" presStyleCnt="3"/>
      <dgm:spPr/>
    </dgm:pt>
    <dgm:pt modelId="{3502A29D-4D1F-4C23-A704-E1FA3AE9420F}" type="pres">
      <dgm:prSet presAssocID="{C4D69F15-03E9-43F2-B18D-031809792FC4}" presName="hierRoot2" presStyleCnt="0">
        <dgm:presLayoutVars>
          <dgm:hierBranch val="init"/>
        </dgm:presLayoutVars>
      </dgm:prSet>
      <dgm:spPr/>
    </dgm:pt>
    <dgm:pt modelId="{D2C9F39F-3559-4F65-9917-1F31135F5606}" type="pres">
      <dgm:prSet presAssocID="{C4D69F15-03E9-43F2-B18D-031809792FC4}" presName="rootComposite" presStyleCnt="0"/>
      <dgm:spPr/>
    </dgm:pt>
    <dgm:pt modelId="{C1FD3B31-C211-4D7C-914D-85FA8DD4774A}" type="pres">
      <dgm:prSet presAssocID="{C4D69F15-03E9-43F2-B18D-031809792FC4}" presName="rootText" presStyleLbl="node4" presStyleIdx="1" presStyleCnt="3" custScaleX="122068">
        <dgm:presLayoutVars>
          <dgm:chPref val="3"/>
        </dgm:presLayoutVars>
      </dgm:prSet>
      <dgm:spPr/>
    </dgm:pt>
    <dgm:pt modelId="{007674B7-88A6-4EDE-9ECE-C5C4C9FB8CA7}" type="pres">
      <dgm:prSet presAssocID="{C4D69F15-03E9-43F2-B18D-031809792FC4}" presName="rootConnector" presStyleLbl="node4" presStyleIdx="1" presStyleCnt="3"/>
      <dgm:spPr/>
    </dgm:pt>
    <dgm:pt modelId="{96811608-1F82-429D-8155-20C4372C24F6}" type="pres">
      <dgm:prSet presAssocID="{C4D69F15-03E9-43F2-B18D-031809792FC4}" presName="hierChild4" presStyleCnt="0"/>
      <dgm:spPr/>
    </dgm:pt>
    <dgm:pt modelId="{343C27BE-1106-4C12-8CC8-A36D011A6CDD}" type="pres">
      <dgm:prSet presAssocID="{C4D69F15-03E9-43F2-B18D-031809792FC4}" presName="hierChild5" presStyleCnt="0"/>
      <dgm:spPr/>
    </dgm:pt>
    <dgm:pt modelId="{0FA89ABA-E303-4991-807C-6806B1BB7BF5}" type="pres">
      <dgm:prSet presAssocID="{E6169D44-99CF-4194-9338-0D96A695EC7A}" presName="Name37" presStyleLbl="parChTrans1D4" presStyleIdx="2" presStyleCnt="3"/>
      <dgm:spPr/>
    </dgm:pt>
    <dgm:pt modelId="{0F2B884A-633D-4D41-A05B-866AE348A1AC}" type="pres">
      <dgm:prSet presAssocID="{378CDC79-8EA8-498D-8C70-68EBE6235792}" presName="hierRoot2" presStyleCnt="0">
        <dgm:presLayoutVars>
          <dgm:hierBranch val="init"/>
        </dgm:presLayoutVars>
      </dgm:prSet>
      <dgm:spPr/>
    </dgm:pt>
    <dgm:pt modelId="{8AFE3323-3390-4615-96CD-7E547917B6B2}" type="pres">
      <dgm:prSet presAssocID="{378CDC79-8EA8-498D-8C70-68EBE6235792}" presName="rootComposite" presStyleCnt="0"/>
      <dgm:spPr/>
    </dgm:pt>
    <dgm:pt modelId="{B83DDB4D-B9A8-4246-B294-74175C853301}" type="pres">
      <dgm:prSet presAssocID="{378CDC79-8EA8-498D-8C70-68EBE6235792}" presName="rootText" presStyleLbl="node4" presStyleIdx="2" presStyleCnt="3" custScaleX="122068">
        <dgm:presLayoutVars>
          <dgm:chPref val="3"/>
        </dgm:presLayoutVars>
      </dgm:prSet>
      <dgm:spPr/>
    </dgm:pt>
    <dgm:pt modelId="{CFFD90B0-BFC0-4227-A065-05BA002868E1}" type="pres">
      <dgm:prSet presAssocID="{378CDC79-8EA8-498D-8C70-68EBE6235792}" presName="rootConnector" presStyleLbl="node4" presStyleIdx="2" presStyleCnt="3"/>
      <dgm:spPr/>
    </dgm:pt>
    <dgm:pt modelId="{79A3AD35-F873-4502-8257-B23EC2333430}" type="pres">
      <dgm:prSet presAssocID="{378CDC79-8EA8-498D-8C70-68EBE6235792}" presName="hierChild4" presStyleCnt="0"/>
      <dgm:spPr/>
    </dgm:pt>
    <dgm:pt modelId="{B0E18927-7CF9-45EB-B76A-250C806BEE31}" type="pres">
      <dgm:prSet presAssocID="{378CDC79-8EA8-498D-8C70-68EBE6235792}" presName="hierChild5" presStyleCnt="0"/>
      <dgm:spPr/>
    </dgm:pt>
    <dgm:pt modelId="{3194AF85-6513-4ECE-8A53-78FA5185D4C1}" type="pres">
      <dgm:prSet presAssocID="{017AC5E7-CA2F-400C-9195-7E673F135A48}" presName="hierChild5" presStyleCnt="0"/>
      <dgm:spPr/>
    </dgm:pt>
    <dgm:pt modelId="{EC060170-DD03-4D2F-82B1-0EEFB411ABE8}" type="pres">
      <dgm:prSet presAssocID="{24DFE283-6964-40D6-9067-76DE741F522D}" presName="hierChild5" presStyleCnt="0"/>
      <dgm:spPr/>
    </dgm:pt>
    <dgm:pt modelId="{42EF1CD9-50D3-4211-80EF-8108837C824B}" type="pres">
      <dgm:prSet presAssocID="{D830A6D8-FB2A-4F7F-9DF0-0494B02C410B}" presName="hierChild3" presStyleCnt="0"/>
      <dgm:spPr/>
    </dgm:pt>
  </dgm:ptLst>
  <dgm:cxnLst>
    <dgm:cxn modelId="{51ED3C03-9FB3-466A-9489-2C35DED7E9A8}" type="presOf" srcId="{E6169D44-99CF-4194-9338-0D96A695EC7A}" destId="{0FA89ABA-E303-4991-807C-6806B1BB7BF5}" srcOrd="0" destOrd="0" presId="urn:microsoft.com/office/officeart/2005/8/layout/orgChart1"/>
    <dgm:cxn modelId="{D665E603-CA9A-4D21-B6A0-8A49ADDDF0F4}" type="presOf" srcId="{017AC5E7-CA2F-400C-9195-7E673F135A48}" destId="{97F3F746-73B3-4044-AA90-2F004CC2F0DC}" srcOrd="1" destOrd="0" presId="urn:microsoft.com/office/officeart/2005/8/layout/orgChart1"/>
    <dgm:cxn modelId="{4127A405-A914-4188-8A1B-9753C4069F6C}" type="presOf" srcId="{A04F6DFF-B832-4605-A38D-FD03C6527806}" destId="{FA60CCE6-1CC1-4B50-874C-DB10E7DF33DC}" srcOrd="0" destOrd="0" presId="urn:microsoft.com/office/officeart/2005/8/layout/orgChart1"/>
    <dgm:cxn modelId="{EFE49F06-779F-4838-8800-873031C27636}" type="presOf" srcId="{24DFE283-6964-40D6-9067-76DE741F522D}" destId="{5723ADBB-4129-4F0E-80CF-7C8717CA4EBE}" srcOrd="0" destOrd="0" presId="urn:microsoft.com/office/officeart/2005/8/layout/orgChart1"/>
    <dgm:cxn modelId="{89AD7514-F5D7-4E86-BB3E-B1D635D453C0}" type="presOf" srcId="{378CDC79-8EA8-498D-8C70-68EBE6235792}" destId="{CFFD90B0-BFC0-4227-A065-05BA002868E1}" srcOrd="1" destOrd="0" presId="urn:microsoft.com/office/officeart/2005/8/layout/orgChart1"/>
    <dgm:cxn modelId="{C857E827-6CD5-46BF-BB8D-93981C8D6058}" type="presOf" srcId="{108E3A45-5555-4FF4-9D05-B912F8E354FC}" destId="{E52CBA52-4A66-4FB2-B323-CB6DBDD9BB11}" srcOrd="0" destOrd="0" presId="urn:microsoft.com/office/officeart/2005/8/layout/orgChart1"/>
    <dgm:cxn modelId="{4DC2F328-0AF3-4695-B1F6-BB20E828CDB3}" type="presOf" srcId="{D830A6D8-FB2A-4F7F-9DF0-0494B02C410B}" destId="{0BEA0F96-37AA-4BFA-AF53-42794710BE56}" srcOrd="0" destOrd="0" presId="urn:microsoft.com/office/officeart/2005/8/layout/orgChart1"/>
    <dgm:cxn modelId="{FAA69439-CFC5-4943-A56A-991AD7CA8354}" type="presOf" srcId="{AD5D74E1-5493-43C4-AEF6-E0DEA03F6D2F}" destId="{CF45EA44-AD36-4A2F-8F0A-6AF0BD04F816}" srcOrd="0" destOrd="0" presId="urn:microsoft.com/office/officeart/2005/8/layout/orgChart1"/>
    <dgm:cxn modelId="{27F87661-C357-48FD-80D4-8806E1CCDA91}" type="presOf" srcId="{A00A36F5-553E-4F3D-8070-89F31AFD29BF}" destId="{0115B757-C921-4B81-A4EA-6B2BE970B5A9}" srcOrd="0" destOrd="0" presId="urn:microsoft.com/office/officeart/2005/8/layout/orgChart1"/>
    <dgm:cxn modelId="{3F39BF46-6C38-43A1-B8A9-3EA1E07CEF17}" srcId="{017AC5E7-CA2F-400C-9195-7E673F135A48}" destId="{378CDC79-8EA8-498D-8C70-68EBE6235792}" srcOrd="2" destOrd="0" parTransId="{E6169D44-99CF-4194-9338-0D96A695EC7A}" sibTransId="{93CB0A1C-4DB8-4D0C-A14C-0483B8F2A75E}"/>
    <dgm:cxn modelId="{1F7C0647-21A4-4656-B449-F5075EFA2ADE}" srcId="{AD5D74E1-5493-43C4-AEF6-E0DEA03F6D2F}" destId="{D830A6D8-FB2A-4F7F-9DF0-0494B02C410B}" srcOrd="0" destOrd="0" parTransId="{35113E62-81EF-45C3-9405-123ECEB779F0}" sibTransId="{43F5206D-E21D-413F-85C2-2FACD1B1A41B}"/>
    <dgm:cxn modelId="{A0F85C47-30EF-430C-8AA7-5C2459F70125}" srcId="{017AC5E7-CA2F-400C-9195-7E673F135A48}" destId="{C4D69F15-03E9-43F2-B18D-031809792FC4}" srcOrd="1" destOrd="0" parTransId="{18382552-36EC-4B54-98FB-B0A8A7C55DCC}" sibTransId="{25779D51-3FF4-4C06-97CF-D1D0954D23EC}"/>
    <dgm:cxn modelId="{B2F4986A-60C1-4632-8867-66CAF7BA15E3}" type="presOf" srcId="{017AC5E7-CA2F-400C-9195-7E673F135A48}" destId="{54FAE57D-1C50-4AD8-995C-45618B89D397}" srcOrd="0" destOrd="0" presId="urn:microsoft.com/office/officeart/2005/8/layout/orgChart1"/>
    <dgm:cxn modelId="{F9E4A16E-3525-47CF-99EB-373726A635F9}" type="presOf" srcId="{C4D69F15-03E9-43F2-B18D-031809792FC4}" destId="{007674B7-88A6-4EDE-9ECE-C5C4C9FB8CA7}" srcOrd="1" destOrd="0" presId="urn:microsoft.com/office/officeart/2005/8/layout/orgChart1"/>
    <dgm:cxn modelId="{253C7053-E646-41EB-B66F-F5237A272298}" type="presOf" srcId="{2214F6F3-9B12-40F0-90C6-6B0ACF42CCC7}" destId="{B24592C5-3D37-4CA8-BEF1-378DC8B1E740}" srcOrd="0" destOrd="0" presId="urn:microsoft.com/office/officeart/2005/8/layout/orgChart1"/>
    <dgm:cxn modelId="{0153D49F-6BF5-408B-8EA8-986079498427}" type="presOf" srcId="{108E3A45-5555-4FF4-9D05-B912F8E354FC}" destId="{98B4B433-0A2D-4F3F-960F-B75DB9BD7FC3}" srcOrd="1" destOrd="0" presId="urn:microsoft.com/office/officeart/2005/8/layout/orgChart1"/>
    <dgm:cxn modelId="{C82A19A5-DDB5-4476-AA68-0E8B6D8447D1}" srcId="{24DFE283-6964-40D6-9067-76DE741F522D}" destId="{017AC5E7-CA2F-400C-9195-7E673F135A48}" srcOrd="0" destOrd="0" parTransId="{A04F6DFF-B832-4605-A38D-FD03C6527806}" sibTransId="{3EAF6A1F-CC21-415F-A903-2E25B7B5562C}"/>
    <dgm:cxn modelId="{9DE312B5-BA72-4F47-8D4A-A622F77DC2CF}" type="presOf" srcId="{24DFE283-6964-40D6-9067-76DE741F522D}" destId="{9FE1C11E-23EF-4CC5-B03C-6E5A2D0D39C3}" srcOrd="1" destOrd="0" presId="urn:microsoft.com/office/officeart/2005/8/layout/orgChart1"/>
    <dgm:cxn modelId="{7276BFD8-DC00-4B39-A3B9-AFADA6E26EB6}" type="presOf" srcId="{D830A6D8-FB2A-4F7F-9DF0-0494B02C410B}" destId="{77C73F94-E4E4-4EF2-8922-56EDFB4045F3}" srcOrd="1" destOrd="0" presId="urn:microsoft.com/office/officeart/2005/8/layout/orgChart1"/>
    <dgm:cxn modelId="{27AF2CE4-20C7-41CA-A72A-D4E3C4600EC9}" srcId="{017AC5E7-CA2F-400C-9195-7E673F135A48}" destId="{108E3A45-5555-4FF4-9D05-B912F8E354FC}" srcOrd="0" destOrd="0" parTransId="{A00A36F5-553E-4F3D-8070-89F31AFD29BF}" sibTransId="{9DA8F786-5BB4-4A2F-A737-DB64CED3FFFF}"/>
    <dgm:cxn modelId="{70CD2FF4-7F8C-420C-8789-4DC3D944920B}" srcId="{D830A6D8-FB2A-4F7F-9DF0-0494B02C410B}" destId="{24DFE283-6964-40D6-9067-76DE741F522D}" srcOrd="0" destOrd="0" parTransId="{2214F6F3-9B12-40F0-90C6-6B0ACF42CCC7}" sibTransId="{E9159F4A-A6AC-47D9-B99D-B104D371C557}"/>
    <dgm:cxn modelId="{DA0E1EF8-2288-49B1-BB88-C6E82E0A970A}" type="presOf" srcId="{378CDC79-8EA8-498D-8C70-68EBE6235792}" destId="{B83DDB4D-B9A8-4246-B294-74175C853301}" srcOrd="0" destOrd="0" presId="urn:microsoft.com/office/officeart/2005/8/layout/orgChart1"/>
    <dgm:cxn modelId="{B0080CFB-9527-47DE-A971-82BE77100F39}" type="presOf" srcId="{18382552-36EC-4B54-98FB-B0A8A7C55DCC}" destId="{1171D433-D49D-4A50-8580-B3F4769DF3EC}" srcOrd="0" destOrd="0" presId="urn:microsoft.com/office/officeart/2005/8/layout/orgChart1"/>
    <dgm:cxn modelId="{42A7CFFD-17DD-4F70-B47B-4E9EE8F65AFA}" type="presOf" srcId="{C4D69F15-03E9-43F2-B18D-031809792FC4}" destId="{C1FD3B31-C211-4D7C-914D-85FA8DD4774A}" srcOrd="0" destOrd="0" presId="urn:microsoft.com/office/officeart/2005/8/layout/orgChart1"/>
    <dgm:cxn modelId="{17F11B26-7FE7-4696-90D5-74A8FDBCDFE1}" type="presParOf" srcId="{CF45EA44-AD36-4A2F-8F0A-6AF0BD04F816}" destId="{6CCCC1D5-6BB1-4C16-952D-C68D00D8F00D}" srcOrd="0" destOrd="0" presId="urn:microsoft.com/office/officeart/2005/8/layout/orgChart1"/>
    <dgm:cxn modelId="{96B19D55-44F1-49E2-9984-6D4DD3A1985D}" type="presParOf" srcId="{6CCCC1D5-6BB1-4C16-952D-C68D00D8F00D}" destId="{9C507561-C5F1-4066-9223-0A8CF11E96E0}" srcOrd="0" destOrd="0" presId="urn:microsoft.com/office/officeart/2005/8/layout/orgChart1"/>
    <dgm:cxn modelId="{76E784E1-CCEE-4DED-A621-30E141722249}" type="presParOf" srcId="{9C507561-C5F1-4066-9223-0A8CF11E96E0}" destId="{0BEA0F96-37AA-4BFA-AF53-42794710BE56}" srcOrd="0" destOrd="0" presId="urn:microsoft.com/office/officeart/2005/8/layout/orgChart1"/>
    <dgm:cxn modelId="{4F138F2F-DEAA-4DDC-A505-5BB2FDA2FE1E}" type="presParOf" srcId="{9C507561-C5F1-4066-9223-0A8CF11E96E0}" destId="{77C73F94-E4E4-4EF2-8922-56EDFB4045F3}" srcOrd="1" destOrd="0" presId="urn:microsoft.com/office/officeart/2005/8/layout/orgChart1"/>
    <dgm:cxn modelId="{25FC8FB6-97C9-445A-9D44-EE61A503F9A9}" type="presParOf" srcId="{6CCCC1D5-6BB1-4C16-952D-C68D00D8F00D}" destId="{B3C67999-596D-48A3-843F-61A4C74B99A2}" srcOrd="1" destOrd="0" presId="urn:microsoft.com/office/officeart/2005/8/layout/orgChart1"/>
    <dgm:cxn modelId="{6CBCC63F-BD35-488E-92A0-825253611459}" type="presParOf" srcId="{B3C67999-596D-48A3-843F-61A4C74B99A2}" destId="{B24592C5-3D37-4CA8-BEF1-378DC8B1E740}" srcOrd="0" destOrd="0" presId="urn:microsoft.com/office/officeart/2005/8/layout/orgChart1"/>
    <dgm:cxn modelId="{517CD040-7D7A-424B-BC8F-B812FF81BE38}" type="presParOf" srcId="{B3C67999-596D-48A3-843F-61A4C74B99A2}" destId="{66F4A793-A042-4A07-8C9C-11606699328B}" srcOrd="1" destOrd="0" presId="urn:microsoft.com/office/officeart/2005/8/layout/orgChart1"/>
    <dgm:cxn modelId="{17F86003-A60A-40CE-B938-7893E70BA7FC}" type="presParOf" srcId="{66F4A793-A042-4A07-8C9C-11606699328B}" destId="{F6244FE6-36C8-43BF-A38E-5C0C55D7BA64}" srcOrd="0" destOrd="0" presId="urn:microsoft.com/office/officeart/2005/8/layout/orgChart1"/>
    <dgm:cxn modelId="{B7DF9FDC-1578-4648-BBD5-466722E984F4}" type="presParOf" srcId="{F6244FE6-36C8-43BF-A38E-5C0C55D7BA64}" destId="{5723ADBB-4129-4F0E-80CF-7C8717CA4EBE}" srcOrd="0" destOrd="0" presId="urn:microsoft.com/office/officeart/2005/8/layout/orgChart1"/>
    <dgm:cxn modelId="{6741C329-D91E-487A-96D8-B419FA772DDE}" type="presParOf" srcId="{F6244FE6-36C8-43BF-A38E-5C0C55D7BA64}" destId="{9FE1C11E-23EF-4CC5-B03C-6E5A2D0D39C3}" srcOrd="1" destOrd="0" presId="urn:microsoft.com/office/officeart/2005/8/layout/orgChart1"/>
    <dgm:cxn modelId="{B38A6D9F-79EE-4ABB-B5B3-AED3E98AA360}" type="presParOf" srcId="{66F4A793-A042-4A07-8C9C-11606699328B}" destId="{C3C8806C-DAB2-4E03-972F-FBA91E5DA2EF}" srcOrd="1" destOrd="0" presId="urn:microsoft.com/office/officeart/2005/8/layout/orgChart1"/>
    <dgm:cxn modelId="{041F3D46-D797-4C85-8BC5-372976E070BF}" type="presParOf" srcId="{C3C8806C-DAB2-4E03-972F-FBA91E5DA2EF}" destId="{FA60CCE6-1CC1-4B50-874C-DB10E7DF33DC}" srcOrd="0" destOrd="0" presId="urn:microsoft.com/office/officeart/2005/8/layout/orgChart1"/>
    <dgm:cxn modelId="{54E553BC-0261-43E2-9D25-68E7AE3669AB}" type="presParOf" srcId="{C3C8806C-DAB2-4E03-972F-FBA91E5DA2EF}" destId="{7BBCFE99-E623-4862-B8FF-6B6923FCDA41}" srcOrd="1" destOrd="0" presId="urn:microsoft.com/office/officeart/2005/8/layout/orgChart1"/>
    <dgm:cxn modelId="{21BB06F9-63E1-4264-B95E-B1A41C795982}" type="presParOf" srcId="{7BBCFE99-E623-4862-B8FF-6B6923FCDA41}" destId="{16FE0BDD-E70A-4C00-B6B4-639AEC6B4E86}" srcOrd="0" destOrd="0" presId="urn:microsoft.com/office/officeart/2005/8/layout/orgChart1"/>
    <dgm:cxn modelId="{D8D30313-ECB6-4F55-93FA-8CD8F199AC9B}" type="presParOf" srcId="{16FE0BDD-E70A-4C00-B6B4-639AEC6B4E86}" destId="{54FAE57D-1C50-4AD8-995C-45618B89D397}" srcOrd="0" destOrd="0" presId="urn:microsoft.com/office/officeart/2005/8/layout/orgChart1"/>
    <dgm:cxn modelId="{6157E74F-CF7C-4EB1-A6C2-078BBC52241E}" type="presParOf" srcId="{16FE0BDD-E70A-4C00-B6B4-639AEC6B4E86}" destId="{97F3F746-73B3-4044-AA90-2F004CC2F0DC}" srcOrd="1" destOrd="0" presId="urn:microsoft.com/office/officeart/2005/8/layout/orgChart1"/>
    <dgm:cxn modelId="{F15BACB2-D507-471B-960C-4F29C93091CB}" type="presParOf" srcId="{7BBCFE99-E623-4862-B8FF-6B6923FCDA41}" destId="{CA32D975-8501-4BBF-B5B0-59BA1001102A}" srcOrd="1" destOrd="0" presId="urn:microsoft.com/office/officeart/2005/8/layout/orgChart1"/>
    <dgm:cxn modelId="{E8ADD48D-7511-4126-8A26-D78230084317}" type="presParOf" srcId="{CA32D975-8501-4BBF-B5B0-59BA1001102A}" destId="{0115B757-C921-4B81-A4EA-6B2BE970B5A9}" srcOrd="0" destOrd="0" presId="urn:microsoft.com/office/officeart/2005/8/layout/orgChart1"/>
    <dgm:cxn modelId="{393D20EA-1BF5-474B-8FC6-1E99F895334E}" type="presParOf" srcId="{CA32D975-8501-4BBF-B5B0-59BA1001102A}" destId="{4DD2B2DC-BC1D-4563-A40F-D5123F6FA979}" srcOrd="1" destOrd="0" presId="urn:microsoft.com/office/officeart/2005/8/layout/orgChart1"/>
    <dgm:cxn modelId="{BCA98624-B1CC-4B56-8415-BB397A48DFF8}" type="presParOf" srcId="{4DD2B2DC-BC1D-4563-A40F-D5123F6FA979}" destId="{2E695D29-EBEF-491F-8C85-A3A1E77BFE42}" srcOrd="0" destOrd="0" presId="urn:microsoft.com/office/officeart/2005/8/layout/orgChart1"/>
    <dgm:cxn modelId="{EB637D52-5C25-4D0E-B796-7A936DF960A6}" type="presParOf" srcId="{2E695D29-EBEF-491F-8C85-A3A1E77BFE42}" destId="{E52CBA52-4A66-4FB2-B323-CB6DBDD9BB11}" srcOrd="0" destOrd="0" presId="urn:microsoft.com/office/officeart/2005/8/layout/orgChart1"/>
    <dgm:cxn modelId="{EDB43F5A-A77C-4389-985D-6F9578EF2F85}" type="presParOf" srcId="{2E695D29-EBEF-491F-8C85-A3A1E77BFE42}" destId="{98B4B433-0A2D-4F3F-960F-B75DB9BD7FC3}" srcOrd="1" destOrd="0" presId="urn:microsoft.com/office/officeart/2005/8/layout/orgChart1"/>
    <dgm:cxn modelId="{516DEB39-4D72-4052-BFD9-6943FAE3C297}" type="presParOf" srcId="{4DD2B2DC-BC1D-4563-A40F-D5123F6FA979}" destId="{E7187D90-D07A-483B-B8A1-6C74259C8D00}" srcOrd="1" destOrd="0" presId="urn:microsoft.com/office/officeart/2005/8/layout/orgChart1"/>
    <dgm:cxn modelId="{8BE852A2-7E27-4663-909B-D90262ADE032}" type="presParOf" srcId="{4DD2B2DC-BC1D-4563-A40F-D5123F6FA979}" destId="{4BF3A662-CB03-42C9-A3EB-491C8CEB2E8B}" srcOrd="2" destOrd="0" presId="urn:microsoft.com/office/officeart/2005/8/layout/orgChart1"/>
    <dgm:cxn modelId="{EB8C91BA-14D8-46C7-A4E1-8A9DD6D7275C}" type="presParOf" srcId="{CA32D975-8501-4BBF-B5B0-59BA1001102A}" destId="{1171D433-D49D-4A50-8580-B3F4769DF3EC}" srcOrd="2" destOrd="0" presId="urn:microsoft.com/office/officeart/2005/8/layout/orgChart1"/>
    <dgm:cxn modelId="{E9620087-AB77-4D5A-9D25-DFF619B2D77F}" type="presParOf" srcId="{CA32D975-8501-4BBF-B5B0-59BA1001102A}" destId="{3502A29D-4D1F-4C23-A704-E1FA3AE9420F}" srcOrd="3" destOrd="0" presId="urn:microsoft.com/office/officeart/2005/8/layout/orgChart1"/>
    <dgm:cxn modelId="{19DAFFC6-6BE5-46E9-9600-CA2B028753F8}" type="presParOf" srcId="{3502A29D-4D1F-4C23-A704-E1FA3AE9420F}" destId="{D2C9F39F-3559-4F65-9917-1F31135F5606}" srcOrd="0" destOrd="0" presId="urn:microsoft.com/office/officeart/2005/8/layout/orgChart1"/>
    <dgm:cxn modelId="{DDDC6979-0308-4A1D-96C7-9424A602957B}" type="presParOf" srcId="{D2C9F39F-3559-4F65-9917-1F31135F5606}" destId="{C1FD3B31-C211-4D7C-914D-85FA8DD4774A}" srcOrd="0" destOrd="0" presId="urn:microsoft.com/office/officeart/2005/8/layout/orgChart1"/>
    <dgm:cxn modelId="{5B7C10A3-501D-4DAF-A0B4-2168283DA727}" type="presParOf" srcId="{D2C9F39F-3559-4F65-9917-1F31135F5606}" destId="{007674B7-88A6-4EDE-9ECE-C5C4C9FB8CA7}" srcOrd="1" destOrd="0" presId="urn:microsoft.com/office/officeart/2005/8/layout/orgChart1"/>
    <dgm:cxn modelId="{262E3B8B-89D0-4E47-90A4-A0FBBD06E586}" type="presParOf" srcId="{3502A29D-4D1F-4C23-A704-E1FA3AE9420F}" destId="{96811608-1F82-429D-8155-20C4372C24F6}" srcOrd="1" destOrd="0" presId="urn:microsoft.com/office/officeart/2005/8/layout/orgChart1"/>
    <dgm:cxn modelId="{82C67099-A7B6-45F4-A70E-3CA3796DDE4B}" type="presParOf" srcId="{3502A29D-4D1F-4C23-A704-E1FA3AE9420F}" destId="{343C27BE-1106-4C12-8CC8-A36D011A6CDD}" srcOrd="2" destOrd="0" presId="urn:microsoft.com/office/officeart/2005/8/layout/orgChart1"/>
    <dgm:cxn modelId="{2CF749F5-9D02-45B2-922F-0FAFE09C32B8}" type="presParOf" srcId="{CA32D975-8501-4BBF-B5B0-59BA1001102A}" destId="{0FA89ABA-E303-4991-807C-6806B1BB7BF5}" srcOrd="4" destOrd="0" presId="urn:microsoft.com/office/officeart/2005/8/layout/orgChart1"/>
    <dgm:cxn modelId="{A6A5E0E9-16C5-4976-92C8-8DE7F7AA32A1}" type="presParOf" srcId="{CA32D975-8501-4BBF-B5B0-59BA1001102A}" destId="{0F2B884A-633D-4D41-A05B-866AE348A1AC}" srcOrd="5" destOrd="0" presId="urn:microsoft.com/office/officeart/2005/8/layout/orgChart1"/>
    <dgm:cxn modelId="{2BD96C7F-BC20-4AE1-96FC-BEB1A67713D8}" type="presParOf" srcId="{0F2B884A-633D-4D41-A05B-866AE348A1AC}" destId="{8AFE3323-3390-4615-96CD-7E547917B6B2}" srcOrd="0" destOrd="0" presId="urn:microsoft.com/office/officeart/2005/8/layout/orgChart1"/>
    <dgm:cxn modelId="{E1F6122E-110C-4988-998A-B09E7EC98087}" type="presParOf" srcId="{8AFE3323-3390-4615-96CD-7E547917B6B2}" destId="{B83DDB4D-B9A8-4246-B294-74175C853301}" srcOrd="0" destOrd="0" presId="urn:microsoft.com/office/officeart/2005/8/layout/orgChart1"/>
    <dgm:cxn modelId="{C5975EA9-B4EC-4BAC-BF78-4A0ED8C68E9E}" type="presParOf" srcId="{8AFE3323-3390-4615-96CD-7E547917B6B2}" destId="{CFFD90B0-BFC0-4227-A065-05BA002868E1}" srcOrd="1" destOrd="0" presId="urn:microsoft.com/office/officeart/2005/8/layout/orgChart1"/>
    <dgm:cxn modelId="{D99A65AC-0312-4B48-A829-3D6E76CE37E3}" type="presParOf" srcId="{0F2B884A-633D-4D41-A05B-866AE348A1AC}" destId="{79A3AD35-F873-4502-8257-B23EC2333430}" srcOrd="1" destOrd="0" presId="urn:microsoft.com/office/officeart/2005/8/layout/orgChart1"/>
    <dgm:cxn modelId="{EB97D182-44A3-4035-950E-ED420C57376B}" type="presParOf" srcId="{0F2B884A-633D-4D41-A05B-866AE348A1AC}" destId="{B0E18927-7CF9-45EB-B76A-250C806BEE31}" srcOrd="2" destOrd="0" presId="urn:microsoft.com/office/officeart/2005/8/layout/orgChart1"/>
    <dgm:cxn modelId="{66AF4A2C-170C-4A44-9270-B6267A89B86D}" type="presParOf" srcId="{7BBCFE99-E623-4862-B8FF-6B6923FCDA41}" destId="{3194AF85-6513-4ECE-8A53-78FA5185D4C1}" srcOrd="2" destOrd="0" presId="urn:microsoft.com/office/officeart/2005/8/layout/orgChart1"/>
    <dgm:cxn modelId="{405F0882-3F1F-4E39-83D8-C2C6DC170741}" type="presParOf" srcId="{66F4A793-A042-4A07-8C9C-11606699328B}" destId="{EC060170-DD03-4D2F-82B1-0EEFB411ABE8}" srcOrd="2" destOrd="0" presId="urn:microsoft.com/office/officeart/2005/8/layout/orgChart1"/>
    <dgm:cxn modelId="{7C863931-81CE-453D-8E11-F0C45B7F6384}" type="presParOf" srcId="{6CCCC1D5-6BB1-4C16-952D-C68D00D8F00D}" destId="{42EF1CD9-50D3-4211-80EF-8108837C824B}"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A89ABA-E303-4991-807C-6806B1BB7BF5}">
      <dsp:nvSpPr>
        <dsp:cNvPr id="0" name=""/>
        <dsp:cNvSpPr/>
      </dsp:nvSpPr>
      <dsp:spPr>
        <a:xfrm>
          <a:off x="3720573" y="2444212"/>
          <a:ext cx="232923" cy="2391540"/>
        </a:xfrm>
        <a:custGeom>
          <a:avLst/>
          <a:gdLst/>
          <a:ahLst/>
          <a:cxnLst/>
          <a:rect l="0" t="0" r="0" b="0"/>
          <a:pathLst>
            <a:path>
              <a:moveTo>
                <a:pt x="0" y="0"/>
              </a:moveTo>
              <a:lnTo>
                <a:pt x="0" y="2391540"/>
              </a:lnTo>
              <a:lnTo>
                <a:pt x="232923" y="23915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71D433-D49D-4A50-8580-B3F4769DF3EC}">
      <dsp:nvSpPr>
        <dsp:cNvPr id="0" name=""/>
        <dsp:cNvSpPr/>
      </dsp:nvSpPr>
      <dsp:spPr>
        <a:xfrm>
          <a:off x="3720573" y="2444212"/>
          <a:ext cx="232923" cy="1488352"/>
        </a:xfrm>
        <a:custGeom>
          <a:avLst/>
          <a:gdLst/>
          <a:ahLst/>
          <a:cxnLst/>
          <a:rect l="0" t="0" r="0" b="0"/>
          <a:pathLst>
            <a:path>
              <a:moveTo>
                <a:pt x="0" y="0"/>
              </a:moveTo>
              <a:lnTo>
                <a:pt x="0" y="1488352"/>
              </a:lnTo>
              <a:lnTo>
                <a:pt x="232923" y="14883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15B757-C921-4B81-A4EA-6B2BE970B5A9}">
      <dsp:nvSpPr>
        <dsp:cNvPr id="0" name=""/>
        <dsp:cNvSpPr/>
      </dsp:nvSpPr>
      <dsp:spPr>
        <a:xfrm>
          <a:off x="3720573" y="2444212"/>
          <a:ext cx="232923" cy="585164"/>
        </a:xfrm>
        <a:custGeom>
          <a:avLst/>
          <a:gdLst/>
          <a:ahLst/>
          <a:cxnLst/>
          <a:rect l="0" t="0" r="0" b="0"/>
          <a:pathLst>
            <a:path>
              <a:moveTo>
                <a:pt x="0" y="0"/>
              </a:moveTo>
              <a:lnTo>
                <a:pt x="0" y="585164"/>
              </a:lnTo>
              <a:lnTo>
                <a:pt x="232923" y="5851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60CCE6-1CC1-4B50-874C-DB10E7DF33DC}">
      <dsp:nvSpPr>
        <dsp:cNvPr id="0" name=""/>
        <dsp:cNvSpPr/>
      </dsp:nvSpPr>
      <dsp:spPr>
        <a:xfrm>
          <a:off x="4295982" y="1541024"/>
          <a:ext cx="91440" cy="267140"/>
        </a:xfrm>
        <a:custGeom>
          <a:avLst/>
          <a:gdLst/>
          <a:ahLst/>
          <a:cxnLst/>
          <a:rect l="0" t="0" r="0" b="0"/>
          <a:pathLst>
            <a:path>
              <a:moveTo>
                <a:pt x="45720" y="0"/>
              </a:moveTo>
              <a:lnTo>
                <a:pt x="45720" y="2671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592C5-3D37-4CA8-BEF1-378DC8B1E740}">
      <dsp:nvSpPr>
        <dsp:cNvPr id="0" name=""/>
        <dsp:cNvSpPr/>
      </dsp:nvSpPr>
      <dsp:spPr>
        <a:xfrm>
          <a:off x="4295982" y="637835"/>
          <a:ext cx="91440" cy="267140"/>
        </a:xfrm>
        <a:custGeom>
          <a:avLst/>
          <a:gdLst/>
          <a:ahLst/>
          <a:cxnLst/>
          <a:rect l="0" t="0" r="0" b="0"/>
          <a:pathLst>
            <a:path>
              <a:moveTo>
                <a:pt x="45720" y="0"/>
              </a:moveTo>
              <a:lnTo>
                <a:pt x="45720" y="2671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EA0F96-37AA-4BFA-AF53-42794710BE56}">
      <dsp:nvSpPr>
        <dsp:cNvPr id="0" name=""/>
        <dsp:cNvSpPr/>
      </dsp:nvSpPr>
      <dsp:spPr>
        <a:xfrm>
          <a:off x="3565291" y="1787"/>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Chief Executive Officer</a:t>
          </a:r>
        </a:p>
      </dsp:txBody>
      <dsp:txXfrm>
        <a:off x="3565291" y="1787"/>
        <a:ext cx="1552822" cy="636048"/>
      </dsp:txXfrm>
    </dsp:sp>
    <dsp:sp modelId="{5723ADBB-4129-4F0E-80CF-7C8717CA4EBE}">
      <dsp:nvSpPr>
        <dsp:cNvPr id="0" name=""/>
        <dsp:cNvSpPr/>
      </dsp:nvSpPr>
      <dsp:spPr>
        <a:xfrm>
          <a:off x="3565291" y="904976"/>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Executive Branch Manager, Corporate and Strategic Services</a:t>
          </a:r>
        </a:p>
      </dsp:txBody>
      <dsp:txXfrm>
        <a:off x="3565291" y="904976"/>
        <a:ext cx="1552822" cy="636048"/>
      </dsp:txXfrm>
    </dsp:sp>
    <dsp:sp modelId="{54FAE57D-1C50-4AD8-995C-45618B89D397}">
      <dsp:nvSpPr>
        <dsp:cNvPr id="0" name=""/>
        <dsp:cNvSpPr/>
      </dsp:nvSpPr>
      <dsp:spPr>
        <a:xfrm>
          <a:off x="3565291" y="1808164"/>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Executive Director, ACTCT Modernisation Program</a:t>
          </a:r>
        </a:p>
      </dsp:txBody>
      <dsp:txXfrm>
        <a:off x="3565291" y="1808164"/>
        <a:ext cx="1552822" cy="636048"/>
      </dsp:txXfrm>
    </dsp:sp>
    <dsp:sp modelId="{E52CBA52-4A66-4FB2-B323-CB6DBDD9BB11}">
      <dsp:nvSpPr>
        <dsp:cNvPr id="0" name=""/>
        <dsp:cNvSpPr/>
      </dsp:nvSpPr>
      <dsp:spPr>
        <a:xfrm>
          <a:off x="3953496" y="2711352"/>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Project Manager</a:t>
          </a:r>
        </a:p>
        <a:p>
          <a:pPr marL="0" lvl="0" indent="0" algn="ctr" defTabSz="533400">
            <a:lnSpc>
              <a:spcPct val="90000"/>
            </a:lnSpc>
            <a:spcBef>
              <a:spcPct val="0"/>
            </a:spcBef>
            <a:spcAft>
              <a:spcPct val="35000"/>
            </a:spcAft>
            <a:buNone/>
          </a:pPr>
          <a:r>
            <a:rPr lang="en-AU" sz="1200" kern="1200" dirty="0"/>
            <a:t>(1 FTE)</a:t>
          </a:r>
        </a:p>
      </dsp:txBody>
      <dsp:txXfrm>
        <a:off x="3953496" y="2711352"/>
        <a:ext cx="1552822" cy="636048"/>
      </dsp:txXfrm>
    </dsp:sp>
    <dsp:sp modelId="{C1FD3B31-C211-4D7C-914D-85FA8DD4774A}">
      <dsp:nvSpPr>
        <dsp:cNvPr id="0" name=""/>
        <dsp:cNvSpPr/>
      </dsp:nvSpPr>
      <dsp:spPr>
        <a:xfrm>
          <a:off x="3953496" y="3614540"/>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Change Manager</a:t>
          </a:r>
        </a:p>
        <a:p>
          <a:pPr marL="0" lvl="0" indent="0" algn="ctr" defTabSz="533400">
            <a:lnSpc>
              <a:spcPct val="90000"/>
            </a:lnSpc>
            <a:spcBef>
              <a:spcPct val="0"/>
            </a:spcBef>
            <a:spcAft>
              <a:spcPct val="35000"/>
            </a:spcAft>
            <a:buNone/>
          </a:pPr>
          <a:r>
            <a:rPr lang="en-AU" sz="1200" kern="1200" dirty="0"/>
            <a:t>(2 FTE)</a:t>
          </a:r>
        </a:p>
      </dsp:txBody>
      <dsp:txXfrm>
        <a:off x="3953496" y="3614540"/>
        <a:ext cx="1552822" cy="636048"/>
      </dsp:txXfrm>
    </dsp:sp>
    <dsp:sp modelId="{B83DDB4D-B9A8-4246-B294-74175C853301}">
      <dsp:nvSpPr>
        <dsp:cNvPr id="0" name=""/>
        <dsp:cNvSpPr/>
      </dsp:nvSpPr>
      <dsp:spPr>
        <a:xfrm>
          <a:off x="3953496" y="4517729"/>
          <a:ext cx="1552822" cy="6360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AU" sz="1200" kern="1200" dirty="0"/>
            <a:t>Legal 3</a:t>
          </a:r>
        </a:p>
        <a:p>
          <a:pPr marL="0" lvl="0" indent="0" algn="ctr" defTabSz="533400">
            <a:lnSpc>
              <a:spcPct val="90000"/>
            </a:lnSpc>
            <a:spcBef>
              <a:spcPct val="0"/>
            </a:spcBef>
            <a:spcAft>
              <a:spcPct val="35000"/>
            </a:spcAft>
            <a:buNone/>
          </a:pPr>
          <a:r>
            <a:rPr lang="en-AU" sz="1200" kern="1200" dirty="0"/>
            <a:t>(3 FTE)</a:t>
          </a:r>
        </a:p>
      </dsp:txBody>
      <dsp:txXfrm>
        <a:off x="3953496" y="4517729"/>
        <a:ext cx="1552822" cy="63604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ptos">
  <a:themeElements>
    <a:clrScheme name="ACTCT - Default">
      <a:dk1>
        <a:sysClr val="windowText" lastClr="000000"/>
      </a:dk1>
      <a:lt1>
        <a:sysClr val="window" lastClr="FFFFFF"/>
      </a:lt1>
      <a:dk2>
        <a:srgbClr val="65695B"/>
      </a:dk2>
      <a:lt2>
        <a:srgbClr val="949D93"/>
      </a:lt2>
      <a:accent1>
        <a:srgbClr val="65695B"/>
      </a:accent1>
      <a:accent2>
        <a:srgbClr val="949D93"/>
      </a:accent2>
      <a:accent3>
        <a:srgbClr val="5C787C"/>
      </a:accent3>
      <a:accent4>
        <a:srgbClr val="AA8D4D"/>
      </a:accent4>
      <a:accent5>
        <a:srgbClr val="C9B474"/>
      </a:accent5>
      <a:accent6>
        <a:srgbClr val="8E4323"/>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1889</Words>
  <Characters>10771</Characters>
  <Application>Microsoft Office Word</Application>
  <DocSecurity>0</DocSecurity>
  <Lines>89</Lines>
  <Paragraphs>25</Paragraphs>
  <ScaleCrop>false</ScaleCrop>
  <Company/>
  <LinksUpToDate>false</LinksUpToDate>
  <CharactersWithSpaces>12635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2026-08-24T04:10:00Z</dcterms:created>
  <dcterms:modified xsi:type="dcterms:W3CDTF">2026-08-24T04:10:00Z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2026-08-24T04:10:47Z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9de8bdf3-e024-48f5-8e0c-c9f677c893d6</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