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D53C02" w:rsidRDefault="00B44F9F" w:rsidP="00B44F9F">
      <w:pPr>
        <w:pStyle w:val="Title"/>
        <w:spacing w:after="0"/>
        <w:jc w:val="left"/>
        <w:rPr>
          <w:rFonts w:asciiTheme="minorHAnsi" w:hAnsiTheme="minorHAnsi"/>
          <w:sz w:val="52"/>
        </w:rPr>
      </w:pPr>
      <w:r w:rsidRPr="00D53C02">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00D53C02">
        <w:rPr>
          <w:rFonts w:asciiTheme="minorHAnsi" w:hAnsiTheme="minorHAnsi"/>
          <w:sz w:val="52"/>
          <w:szCs w:val="52"/>
        </w:rPr>
        <w:t xml:space="preserve"> </w:t>
      </w:r>
      <w:r w:rsidRPr="00D53C02">
        <w:rPr>
          <w:rFonts w:asciiTheme="minorHAnsi" w:hAnsiTheme="minorHAnsi"/>
          <w:sz w:val="52"/>
          <w:szCs w:val="52"/>
        </w:rPr>
        <w:t xml:space="preserve">       </w:t>
      </w:r>
      <w:r w:rsidR="002A43D2" w:rsidRPr="00D53C02">
        <w:rPr>
          <w:rFonts w:asciiTheme="minorHAnsi" w:hAnsiTheme="minorHAnsi"/>
          <w:sz w:val="52"/>
          <w:szCs w:val="52"/>
        </w:rPr>
        <w:t>POSITION DESCRIPTION</w:t>
      </w:r>
    </w:p>
    <w:p w14:paraId="683E01E0" w14:textId="39E5C34B" w:rsidR="003D617F" w:rsidRPr="00D53C02" w:rsidRDefault="003D617F" w:rsidP="003D617F">
      <w:pPr>
        <w:pStyle w:val="BodyText"/>
        <w:spacing w:after="0"/>
        <w:sectPr w:rsidR="003D617F" w:rsidRPr="00D53C02" w:rsidSect="005B38C8">
          <w:headerReference w:type="even" r:id="rId8"/>
          <w:headerReference w:type="default" r:id="rId9"/>
          <w:footerReference w:type="even" r:id="rId10"/>
          <w:headerReference w:type="first" r:id="rId11"/>
          <w:footerReference w:type="first" r:id="rId12"/>
          <w:pgSz w:w="11906" w:h="16838" w:code="9"/>
          <w:pgMar w:top="851" w:right="1134" w:bottom="1134" w:left="1134" w:header="680" w:footer="680" w:gutter="0"/>
          <w:cols w:space="720"/>
          <w:docGrid w:linePitch="326"/>
        </w:sectPr>
      </w:pPr>
      <w:r w:rsidRPr="00D53C02">
        <w:tab/>
      </w:r>
      <w:r w:rsidRPr="00D53C02">
        <w:tab/>
      </w:r>
      <w:r w:rsidRPr="00D53C02">
        <w:tab/>
      </w:r>
      <w:r w:rsidRPr="00D53C02">
        <w:tab/>
      </w:r>
      <w:r w:rsidRPr="00D53C02">
        <w:tab/>
      </w:r>
      <w:r w:rsidRPr="00D53C02">
        <w:tab/>
      </w:r>
      <w:r w:rsidRPr="00D53C02">
        <w:tab/>
      </w:r>
      <w:r w:rsidRPr="00D53C02">
        <w:tab/>
      </w:r>
    </w:p>
    <w:p w14:paraId="6836DD6D" w14:textId="77777777" w:rsidR="003D617F" w:rsidRPr="00D53C02" w:rsidRDefault="003D617F" w:rsidP="002A43D2">
      <w:pPr>
        <w:tabs>
          <w:tab w:val="left" w:pos="3600"/>
        </w:tabs>
        <w:rPr>
          <w:b/>
          <w:szCs w:val="24"/>
        </w:rPr>
      </w:pPr>
    </w:p>
    <w:p w14:paraId="3E8D28A7" w14:textId="064FC02F" w:rsidR="006F09E8" w:rsidRPr="00D53C02" w:rsidRDefault="002A43D2" w:rsidP="002A43D2">
      <w:pPr>
        <w:tabs>
          <w:tab w:val="left" w:pos="3600"/>
        </w:tabs>
        <w:rPr>
          <w:szCs w:val="24"/>
        </w:rPr>
      </w:pPr>
      <w:r w:rsidRPr="00D53C02">
        <w:rPr>
          <w:b/>
          <w:szCs w:val="24"/>
        </w:rPr>
        <w:t>D</w:t>
      </w:r>
      <w:r w:rsidR="00882746" w:rsidRPr="00D53C02">
        <w:rPr>
          <w:b/>
          <w:szCs w:val="24"/>
        </w:rPr>
        <w:t xml:space="preserve">irectorate: </w:t>
      </w:r>
      <w:r w:rsidR="00B44F9F" w:rsidRPr="00D53C02">
        <w:rPr>
          <w:szCs w:val="24"/>
        </w:rPr>
        <w:t>Health</w:t>
      </w:r>
      <w:r w:rsidR="002238C6" w:rsidRPr="00D53C02">
        <w:rPr>
          <w:szCs w:val="24"/>
        </w:rPr>
        <w:t xml:space="preserve"> and</w:t>
      </w:r>
      <w:r w:rsidR="00B44F9F" w:rsidRPr="00D53C02">
        <w:rPr>
          <w:szCs w:val="24"/>
        </w:rPr>
        <w:t xml:space="preserve"> </w:t>
      </w:r>
      <w:r w:rsidR="00F36ECD" w:rsidRPr="00D53C02">
        <w:rPr>
          <w:szCs w:val="24"/>
        </w:rPr>
        <w:t>Community Services Directorate</w:t>
      </w:r>
    </w:p>
    <w:p w14:paraId="485D5660" w14:textId="6AB3720D" w:rsidR="006F09E8" w:rsidRPr="00D53C02" w:rsidRDefault="00882746" w:rsidP="002A43D2">
      <w:pPr>
        <w:spacing w:before="240"/>
        <w:rPr>
          <w:bCs/>
          <w:szCs w:val="24"/>
        </w:rPr>
      </w:pPr>
      <w:r w:rsidRPr="00D53C02">
        <w:rPr>
          <w:b/>
          <w:szCs w:val="24"/>
        </w:rPr>
        <w:t xml:space="preserve">Division: </w:t>
      </w:r>
      <w:r w:rsidR="00A74ED9" w:rsidRPr="00D53C02">
        <w:rPr>
          <w:bCs/>
          <w:szCs w:val="24"/>
        </w:rPr>
        <w:t>Population Health</w:t>
      </w:r>
    </w:p>
    <w:p w14:paraId="3FC77432" w14:textId="3C4F9125" w:rsidR="006F09E8" w:rsidRPr="00D53C02" w:rsidRDefault="00882746" w:rsidP="002A43D2">
      <w:pPr>
        <w:spacing w:before="240"/>
        <w:rPr>
          <w:i/>
          <w:color w:val="2E74B5" w:themeColor="accent1" w:themeShade="BF"/>
          <w:szCs w:val="24"/>
        </w:rPr>
      </w:pPr>
      <w:r w:rsidRPr="00D53C02">
        <w:rPr>
          <w:b/>
          <w:szCs w:val="24"/>
        </w:rPr>
        <w:t xml:space="preserve">Business Unit: </w:t>
      </w:r>
      <w:r w:rsidR="00A74ED9" w:rsidRPr="00D53C02">
        <w:rPr>
          <w:bCs/>
          <w:szCs w:val="24"/>
        </w:rPr>
        <w:t>Business Management</w:t>
      </w:r>
    </w:p>
    <w:p w14:paraId="61C17B67" w14:textId="008A7810" w:rsidR="008C40B5" w:rsidRPr="00D53C02" w:rsidRDefault="00E866A9" w:rsidP="00617DE2">
      <w:pPr>
        <w:spacing w:before="240" w:after="120"/>
        <w:rPr>
          <w:color w:val="2E74B5" w:themeColor="accent1" w:themeShade="BF"/>
          <w:szCs w:val="24"/>
        </w:rPr>
      </w:pPr>
      <w:r w:rsidRPr="00D53C02">
        <w:rPr>
          <w:b/>
          <w:szCs w:val="24"/>
        </w:rPr>
        <w:t xml:space="preserve">Position Title: </w:t>
      </w:r>
      <w:r w:rsidR="00A74ED9" w:rsidRPr="00D53C02">
        <w:rPr>
          <w:bCs/>
          <w:szCs w:val="24"/>
        </w:rPr>
        <w:t>Database and SharePoint Administrator</w:t>
      </w:r>
    </w:p>
    <w:p w14:paraId="246E49D8" w14:textId="52F6D277" w:rsidR="003D617F" w:rsidRPr="00D53C02" w:rsidRDefault="006F09E8" w:rsidP="00836077">
      <w:pPr>
        <w:spacing w:before="240" w:after="120"/>
        <w:rPr>
          <w:szCs w:val="24"/>
        </w:rPr>
      </w:pPr>
      <w:r w:rsidRPr="00D53C02">
        <w:rPr>
          <w:szCs w:val="24"/>
        </w:rPr>
        <w:br w:type="column"/>
      </w:r>
    </w:p>
    <w:p w14:paraId="06D7578A" w14:textId="7ECF6EDB" w:rsidR="006F09E8" w:rsidRPr="00D53C02" w:rsidRDefault="00E866A9" w:rsidP="00836077">
      <w:pPr>
        <w:spacing w:before="120"/>
        <w:rPr>
          <w:b/>
          <w:i/>
          <w:szCs w:val="24"/>
        </w:rPr>
      </w:pPr>
      <w:r w:rsidRPr="00D53C02">
        <w:rPr>
          <w:b/>
          <w:szCs w:val="24"/>
        </w:rPr>
        <w:t xml:space="preserve">Position Number: </w:t>
      </w:r>
      <w:r w:rsidR="008F2E2C" w:rsidRPr="00D53C02">
        <w:rPr>
          <w:bCs/>
          <w:szCs w:val="24"/>
        </w:rPr>
        <w:t>P</w:t>
      </w:r>
      <w:r w:rsidR="00A74ED9" w:rsidRPr="00D53C02">
        <w:rPr>
          <w:bCs/>
          <w:szCs w:val="24"/>
        </w:rPr>
        <w:t>29450</w:t>
      </w:r>
    </w:p>
    <w:p w14:paraId="0E45EE00" w14:textId="50F4CB7F" w:rsidR="006F09E8" w:rsidRPr="00D53C02" w:rsidRDefault="006F09E8" w:rsidP="006F09E8">
      <w:pPr>
        <w:spacing w:before="240"/>
        <w:rPr>
          <w:i/>
          <w:szCs w:val="24"/>
        </w:rPr>
      </w:pPr>
      <w:r w:rsidRPr="00D53C02">
        <w:rPr>
          <w:b/>
          <w:szCs w:val="24"/>
        </w:rPr>
        <w:t>Classification:</w:t>
      </w:r>
      <w:r w:rsidR="00BD011C" w:rsidRPr="00D53C02">
        <w:rPr>
          <w:b/>
          <w:szCs w:val="24"/>
        </w:rPr>
        <w:t xml:space="preserve"> </w:t>
      </w:r>
      <w:r w:rsidR="00A74ED9" w:rsidRPr="00D53C02">
        <w:rPr>
          <w:szCs w:val="24"/>
        </w:rPr>
        <w:t>Administrative Services Officer Class 6</w:t>
      </w:r>
      <w:r w:rsidR="00B878F3">
        <w:rPr>
          <w:szCs w:val="24"/>
        </w:rPr>
        <w:t xml:space="preserve"> (ASO6)</w:t>
      </w:r>
    </w:p>
    <w:p w14:paraId="2BC83790" w14:textId="06B3D86C" w:rsidR="002A43D2" w:rsidRPr="00D53C02" w:rsidRDefault="00E866A9" w:rsidP="002A43D2">
      <w:pPr>
        <w:spacing w:before="240"/>
        <w:rPr>
          <w:bCs/>
          <w:i/>
          <w:color w:val="2E74B5" w:themeColor="accent1" w:themeShade="BF"/>
          <w:szCs w:val="24"/>
        </w:rPr>
      </w:pPr>
      <w:r w:rsidRPr="00D53C02">
        <w:rPr>
          <w:b/>
          <w:szCs w:val="24"/>
        </w:rPr>
        <w:t xml:space="preserve">Location: </w:t>
      </w:r>
      <w:r w:rsidR="00A74ED9" w:rsidRPr="00D53C02">
        <w:rPr>
          <w:bCs/>
          <w:szCs w:val="24"/>
        </w:rPr>
        <w:t>Howard Florey Centenary House</w:t>
      </w:r>
      <w:r w:rsidR="00B878F3">
        <w:rPr>
          <w:bCs/>
          <w:szCs w:val="24"/>
        </w:rPr>
        <w:t>, ACT</w:t>
      </w:r>
    </w:p>
    <w:p w14:paraId="6D42FC50" w14:textId="4A513BFC" w:rsidR="000D7F08" w:rsidRPr="00D53C02" w:rsidRDefault="00E866A9" w:rsidP="00836077">
      <w:pPr>
        <w:spacing w:after="0"/>
        <w:rPr>
          <w:szCs w:val="24"/>
        </w:rPr>
      </w:pPr>
      <w:r w:rsidRPr="00D53C02">
        <w:rPr>
          <w:b/>
          <w:szCs w:val="24"/>
        </w:rPr>
        <w:t>Last Reviewed:</w:t>
      </w:r>
      <w:r w:rsidR="00B878F3">
        <w:rPr>
          <w:b/>
          <w:szCs w:val="24"/>
        </w:rPr>
        <w:t xml:space="preserve"> </w:t>
      </w:r>
      <w:r w:rsidR="00B878F3" w:rsidRPr="00B878F3">
        <w:rPr>
          <w:bCs/>
          <w:szCs w:val="24"/>
        </w:rPr>
        <w:t>June</w:t>
      </w:r>
      <w:r w:rsidR="00A74ED9" w:rsidRPr="00B878F3">
        <w:rPr>
          <w:bCs/>
          <w:szCs w:val="24"/>
        </w:rPr>
        <w:t xml:space="preserve"> 2026</w:t>
      </w:r>
    </w:p>
    <w:p w14:paraId="4C57F31B" w14:textId="7FAB4BBB" w:rsidR="00617DE2" w:rsidRPr="00D53C02" w:rsidRDefault="00617DE2" w:rsidP="003E5074">
      <w:pPr>
        <w:spacing w:before="240" w:after="0"/>
        <w:rPr>
          <w:szCs w:val="24"/>
        </w:rPr>
        <w:sectPr w:rsidR="00617DE2" w:rsidRPr="00D53C02" w:rsidSect="006F09E8">
          <w:type w:val="continuous"/>
          <w:pgSz w:w="11906" w:h="16838" w:code="9"/>
          <w:pgMar w:top="851" w:right="1134" w:bottom="1134" w:left="1134" w:header="680" w:footer="680" w:gutter="0"/>
          <w:cols w:num="2" w:space="720"/>
          <w:docGrid w:linePitch="326"/>
        </w:sectPr>
      </w:pPr>
    </w:p>
    <w:p w14:paraId="04864FB3" w14:textId="76B5302B" w:rsidR="00B44F9F" w:rsidRPr="00D53C02" w:rsidRDefault="002A43D2" w:rsidP="00836077">
      <w:pPr>
        <w:pStyle w:val="Heading1"/>
        <w:pBdr>
          <w:bottom w:val="single" w:sz="12" w:space="1" w:color="auto"/>
        </w:pBdr>
        <w:spacing w:after="0"/>
        <w:rPr>
          <w:rFonts w:asciiTheme="minorHAnsi" w:hAnsiTheme="minorHAnsi"/>
          <w:sz w:val="32"/>
        </w:rPr>
      </w:pPr>
      <w:r w:rsidRPr="00D53C02">
        <w:rPr>
          <w:rFonts w:asciiTheme="minorHAnsi" w:hAnsiTheme="minorHAnsi"/>
          <w:sz w:val="32"/>
        </w:rPr>
        <w:t>DIRECTORATE OVERVIEW</w:t>
      </w:r>
      <w:bookmarkStart w:id="0" w:name="_Hlk126065709"/>
    </w:p>
    <w:p w14:paraId="280C5F9F" w14:textId="0EC8F731" w:rsidR="00B44F9F" w:rsidRPr="0000432E" w:rsidRDefault="00B44F9F" w:rsidP="00836077">
      <w:pPr>
        <w:pStyle w:val="BodyText"/>
        <w:spacing w:before="120"/>
        <w:rPr>
          <w:szCs w:val="24"/>
        </w:rPr>
      </w:pPr>
      <w:r w:rsidRPr="0000432E">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00432E" w:rsidRDefault="00B44F9F" w:rsidP="00B44F9F">
      <w:pPr>
        <w:pStyle w:val="BodyText"/>
        <w:rPr>
          <w:szCs w:val="24"/>
        </w:rPr>
      </w:pPr>
      <w:r w:rsidRPr="0000432E">
        <w:rPr>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63BDF1" w14:textId="2005C9C6" w:rsidR="00B44F9F" w:rsidRPr="0000432E" w:rsidRDefault="00B44F9F" w:rsidP="00B44F9F">
      <w:pPr>
        <w:pStyle w:val="BodyText"/>
        <w:rPr>
          <w:szCs w:val="24"/>
        </w:rPr>
      </w:pPr>
      <w:r w:rsidRPr="0000432E">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4AA32E9F" w14:textId="4CF15710" w:rsidR="00DE3CE5" w:rsidRPr="00D53C02" w:rsidRDefault="00DE3CE5" w:rsidP="00836077">
      <w:pPr>
        <w:pStyle w:val="Heading1"/>
        <w:pBdr>
          <w:bottom w:val="single" w:sz="12" w:space="1" w:color="auto"/>
        </w:pBdr>
        <w:spacing w:after="0"/>
        <w:rPr>
          <w:rFonts w:asciiTheme="minorHAnsi" w:hAnsiTheme="minorHAnsi"/>
          <w:sz w:val="32"/>
        </w:rPr>
      </w:pPr>
      <w:r w:rsidRPr="00D53C02">
        <w:rPr>
          <w:rFonts w:asciiTheme="minorHAnsi" w:hAnsiTheme="minorHAnsi"/>
          <w:sz w:val="32"/>
        </w:rPr>
        <w:t>DIVISION OVERVIEW</w:t>
      </w:r>
    </w:p>
    <w:p w14:paraId="433ED44C" w14:textId="4009D240" w:rsidR="006A1365" w:rsidRPr="0000432E" w:rsidRDefault="006A1365" w:rsidP="00B878F3">
      <w:pPr>
        <w:pStyle w:val="BodyText"/>
        <w:spacing w:before="120"/>
        <w:rPr>
          <w:szCs w:val="24"/>
        </w:rPr>
      </w:pPr>
      <w:r w:rsidRPr="0000432E">
        <w:rPr>
          <w:szCs w:val="24"/>
        </w:rPr>
        <w:t xml:space="preserve">The Population Health Division (PHD) is headed by the Chief Health Officer (CHO) who is appointed under the </w:t>
      </w:r>
      <w:r w:rsidRPr="0000432E">
        <w:rPr>
          <w:i/>
          <w:iCs/>
          <w:szCs w:val="24"/>
        </w:rPr>
        <w:t>Public Health Act 1997</w:t>
      </w:r>
      <w:r w:rsidRPr="0000432E">
        <w:rPr>
          <w:szCs w:val="24"/>
        </w:rPr>
        <w:t xml:space="preserve"> and fulfils a range of statutory responsibilities and delegations under various public health legislation. The Division is also responsible in exercising statutory responsibilities on behalf of the CHO to prevent and manage risks to the health of the ACT population, including planning and management of public health incidents and emergencies.</w:t>
      </w:r>
    </w:p>
    <w:p w14:paraId="5C635275" w14:textId="0F7166E8" w:rsidR="0000432E" w:rsidRDefault="006A1365" w:rsidP="006A1365">
      <w:pPr>
        <w:pStyle w:val="BodyText"/>
        <w:rPr>
          <w:szCs w:val="24"/>
        </w:rPr>
      </w:pPr>
      <w:r w:rsidRPr="0000432E">
        <w:rPr>
          <w:szCs w:val="24"/>
        </w:rPr>
        <w:t>The Division provides a range of services and programs aimed at improving the health of the ACT population through interventions which promote behaviour changes to reduce susceptibility to illness; alter the ACT environment to promote the health of the population and promote interventions that remove or mitigate population health hazards.</w:t>
      </w:r>
    </w:p>
    <w:p w14:paraId="0C858264" w14:textId="77777777" w:rsidR="0000432E" w:rsidRDefault="0000432E" w:rsidP="0000432E">
      <w:pPr>
        <w:pStyle w:val="BodyText"/>
      </w:pPr>
      <w:r>
        <w:br w:type="page"/>
      </w:r>
    </w:p>
    <w:p w14:paraId="36B3C0E1" w14:textId="77777777" w:rsidR="009F246B" w:rsidRPr="00D53C02" w:rsidRDefault="009F246B" w:rsidP="009F246B">
      <w:pPr>
        <w:pStyle w:val="Heading1"/>
        <w:pBdr>
          <w:bottom w:val="single" w:sz="12" w:space="1" w:color="auto"/>
        </w:pBdr>
        <w:spacing w:after="0"/>
        <w:rPr>
          <w:rFonts w:asciiTheme="minorHAnsi" w:hAnsiTheme="minorHAnsi"/>
          <w:sz w:val="32"/>
        </w:rPr>
      </w:pPr>
      <w:bookmarkStart w:id="1" w:name="_Hlk124927831"/>
      <w:r w:rsidRPr="00D53C02">
        <w:rPr>
          <w:rFonts w:asciiTheme="minorHAnsi" w:hAnsiTheme="minorHAnsi"/>
          <w:sz w:val="32"/>
        </w:rPr>
        <w:lastRenderedPageBreak/>
        <w:t>BUSINESS UNIT OVERVIEW</w:t>
      </w:r>
    </w:p>
    <w:p w14:paraId="2F0E42FB" w14:textId="69DDCC64" w:rsidR="000D7F08" w:rsidRPr="00D53C02" w:rsidRDefault="006A1365" w:rsidP="00B878F3">
      <w:pPr>
        <w:spacing w:before="120"/>
      </w:pPr>
      <w:bookmarkStart w:id="2" w:name="_Hlk124927840"/>
      <w:bookmarkEnd w:id="1"/>
      <w:r w:rsidRPr="00D53C02">
        <w:t>Business Management provides administrative support to the branch, including licensing and registration activities; customer service; general administrative duties; fleet management; information technology; and financial matters. Business Management also provides support and coordination of business and quality improvement and database management for the branch.</w:t>
      </w:r>
    </w:p>
    <w:bookmarkEnd w:id="2"/>
    <w:p w14:paraId="5868C668" w14:textId="760A7AEA" w:rsidR="00B878F3" w:rsidRPr="00B878F3" w:rsidRDefault="00836077" w:rsidP="00B878F3">
      <w:pPr>
        <w:pStyle w:val="Heading1"/>
        <w:pBdr>
          <w:bottom w:val="single" w:sz="12" w:space="1" w:color="auto"/>
        </w:pBdr>
        <w:rPr>
          <w:rFonts w:asciiTheme="minorHAnsi" w:hAnsiTheme="minorHAnsi"/>
          <w:sz w:val="32"/>
        </w:rPr>
      </w:pPr>
      <w:r w:rsidRPr="00D53C02">
        <w:rPr>
          <w:rFonts w:asciiTheme="minorHAnsi" w:hAnsiTheme="minorHAnsi"/>
          <w:sz w:val="32"/>
        </w:rPr>
        <w:t>POSITION OVERVIEW</w:t>
      </w:r>
    </w:p>
    <w:p w14:paraId="30296F52" w14:textId="26E9E532" w:rsidR="00B878F3" w:rsidRPr="00B878F3" w:rsidRDefault="00B878F3" w:rsidP="00B878F3">
      <w:pPr>
        <w:pStyle w:val="BodyText"/>
        <w:rPr>
          <w:szCs w:val="24"/>
        </w:rPr>
      </w:pPr>
      <w:r>
        <w:rPr>
          <w:szCs w:val="24"/>
        </w:rPr>
        <w:t xml:space="preserve">The </w:t>
      </w:r>
      <w:r w:rsidRPr="0000432E">
        <w:rPr>
          <w:szCs w:val="24"/>
        </w:rPr>
        <w:t>Database and SharePoint Administrator</w:t>
      </w:r>
      <w:r w:rsidRPr="00B878F3">
        <w:rPr>
          <w:szCs w:val="24"/>
        </w:rPr>
        <w:t xml:space="preserve"> is responsible for managing and maintaining regulatory databases and quality management systems that support Health Protection Service (HPS) operations. It ensures system integrity, supports licensing and compliance activities, and oversees quality systems across the branch.</w:t>
      </w:r>
    </w:p>
    <w:p w14:paraId="40A077C1" w14:textId="77777777" w:rsidR="00B878F3" w:rsidRPr="00B878F3" w:rsidRDefault="00B878F3" w:rsidP="00B878F3">
      <w:pPr>
        <w:pStyle w:val="BodyText"/>
        <w:rPr>
          <w:szCs w:val="24"/>
        </w:rPr>
      </w:pPr>
      <w:r w:rsidRPr="00B878F3">
        <w:rPr>
          <w:szCs w:val="24"/>
        </w:rPr>
        <w:t>The position acts as a super-user, providing user support, training, reporting, and system improvements. It also contributes to business improvement and quality initiatives in collaboration with leadership, particularly the Assistant Director Business Improvement.</w:t>
      </w:r>
    </w:p>
    <w:p w14:paraId="3CF686AC" w14:textId="11E9AF28" w:rsidR="000D7F08" w:rsidRPr="00D53C02" w:rsidRDefault="00836077" w:rsidP="00836077">
      <w:pPr>
        <w:pStyle w:val="Heading1"/>
        <w:pBdr>
          <w:bottom w:val="single" w:sz="12" w:space="1" w:color="auto"/>
        </w:pBdr>
        <w:rPr>
          <w:rFonts w:asciiTheme="minorHAnsi" w:hAnsiTheme="minorHAnsi"/>
          <w:sz w:val="32"/>
        </w:rPr>
      </w:pPr>
      <w:r w:rsidRPr="00D53C02">
        <w:rPr>
          <w:rFonts w:asciiTheme="minorHAnsi" w:hAnsiTheme="minorHAnsi"/>
          <w:sz w:val="32"/>
        </w:rPr>
        <w:t>WHAT YOU WILL DO</w:t>
      </w:r>
    </w:p>
    <w:p w14:paraId="7745DDBC" w14:textId="5B388182" w:rsidR="00D53C02" w:rsidRPr="0000432E" w:rsidRDefault="00D53C02" w:rsidP="006D4568">
      <w:pPr>
        <w:widowControl w:val="0"/>
        <w:numPr>
          <w:ilvl w:val="0"/>
          <w:numId w:val="7"/>
        </w:numPr>
        <w:tabs>
          <w:tab w:val="left" w:pos="894"/>
        </w:tabs>
        <w:suppressAutoHyphens w:val="0"/>
        <w:autoSpaceDE w:val="0"/>
        <w:autoSpaceDN w:val="0"/>
        <w:spacing w:after="0"/>
        <w:rPr>
          <w:rFonts w:eastAsia="Calibri" w:cs="Calibri"/>
          <w:iCs/>
          <w:spacing w:val="-2"/>
          <w:szCs w:val="22"/>
          <w:lang w:eastAsia="en-US"/>
        </w:rPr>
      </w:pPr>
      <w:r w:rsidRPr="0000432E">
        <w:rPr>
          <w:rFonts w:eastAsia="Calibri" w:cs="Calibri"/>
          <w:iCs/>
          <w:spacing w:val="-2"/>
          <w:szCs w:val="22"/>
          <w:lang w:eastAsia="en-US"/>
        </w:rPr>
        <w:t>Triage and escalate system faults and change requests relating to the PHE regulatory database suite and related systems. Liaise with the vendor of the regulatory database system to progress the resolution of faults, conduct testing and deploy to the production environment.</w:t>
      </w:r>
    </w:p>
    <w:p w14:paraId="18D093B7" w14:textId="5678D667" w:rsidR="00D53C02" w:rsidRPr="0000432E" w:rsidRDefault="005C0912" w:rsidP="008127DA">
      <w:pPr>
        <w:widowControl w:val="0"/>
        <w:numPr>
          <w:ilvl w:val="0"/>
          <w:numId w:val="7"/>
        </w:numPr>
        <w:tabs>
          <w:tab w:val="left" w:pos="894"/>
        </w:tabs>
        <w:suppressAutoHyphens w:val="0"/>
        <w:autoSpaceDE w:val="0"/>
        <w:autoSpaceDN w:val="0"/>
        <w:spacing w:after="0"/>
        <w:rPr>
          <w:rFonts w:eastAsia="Calibri" w:cs="Calibri"/>
          <w:iCs/>
          <w:spacing w:val="-2"/>
          <w:szCs w:val="22"/>
          <w:lang w:eastAsia="en-US"/>
        </w:rPr>
      </w:pPr>
      <w:r w:rsidRPr="0000432E">
        <w:rPr>
          <w:rFonts w:eastAsia="Calibri" w:cs="Calibri"/>
          <w:iCs/>
          <w:spacing w:val="-2"/>
          <w:szCs w:val="22"/>
          <w:lang w:eastAsia="en-US"/>
        </w:rPr>
        <w:t>Manage programs that are part of the PHD quality management system, including customer satisfaction and internal audit programs. Manage SharePoint document libraries, SharePoint sites and website content as park of the PHD document management system</w:t>
      </w:r>
      <w:r w:rsidR="00D53C02" w:rsidRPr="0000432E">
        <w:rPr>
          <w:rFonts w:eastAsia="Calibri" w:cs="Calibri"/>
          <w:iCs/>
          <w:spacing w:val="-2"/>
          <w:szCs w:val="22"/>
          <w:lang w:eastAsia="en-US"/>
        </w:rPr>
        <w:t>.</w:t>
      </w:r>
    </w:p>
    <w:p w14:paraId="11F9DE91" w14:textId="77777777" w:rsidR="00D53C02" w:rsidRPr="0000432E" w:rsidRDefault="00D53C02" w:rsidP="00D53C02">
      <w:pPr>
        <w:widowControl w:val="0"/>
        <w:numPr>
          <w:ilvl w:val="0"/>
          <w:numId w:val="7"/>
        </w:numPr>
        <w:tabs>
          <w:tab w:val="left" w:pos="894"/>
        </w:tabs>
        <w:suppressAutoHyphens w:val="0"/>
        <w:autoSpaceDE w:val="0"/>
        <w:autoSpaceDN w:val="0"/>
        <w:spacing w:after="0"/>
        <w:rPr>
          <w:rFonts w:eastAsia="Calibri" w:cs="Calibri"/>
          <w:iCs/>
          <w:spacing w:val="-2"/>
          <w:szCs w:val="22"/>
          <w:lang w:eastAsia="en-US"/>
        </w:rPr>
      </w:pPr>
      <w:r w:rsidRPr="0000432E">
        <w:rPr>
          <w:rFonts w:eastAsia="Calibri" w:cs="Calibri"/>
          <w:iCs/>
          <w:spacing w:val="-2"/>
          <w:szCs w:val="22"/>
          <w:lang w:eastAsia="en-US"/>
        </w:rPr>
        <w:t>Provide advice and support on processes to meet the business needs of PHD.</w:t>
      </w:r>
    </w:p>
    <w:p w14:paraId="39DC28E8" w14:textId="4D4BA9F3" w:rsidR="00D53C02" w:rsidRPr="0000432E" w:rsidRDefault="005C0912" w:rsidP="00D53C02">
      <w:pPr>
        <w:widowControl w:val="0"/>
        <w:numPr>
          <w:ilvl w:val="0"/>
          <w:numId w:val="7"/>
        </w:numPr>
        <w:tabs>
          <w:tab w:val="left" w:pos="894"/>
        </w:tabs>
        <w:suppressAutoHyphens w:val="0"/>
        <w:autoSpaceDE w:val="0"/>
        <w:autoSpaceDN w:val="0"/>
        <w:spacing w:after="0"/>
        <w:rPr>
          <w:rFonts w:eastAsia="Calibri" w:cs="Calibri"/>
          <w:iCs/>
          <w:spacing w:val="-2"/>
          <w:szCs w:val="22"/>
          <w:lang w:eastAsia="en-US"/>
        </w:rPr>
      </w:pPr>
      <w:r w:rsidRPr="0000432E">
        <w:rPr>
          <w:rFonts w:eastAsia="Calibri" w:cs="Calibri"/>
          <w:iCs/>
          <w:spacing w:val="-2"/>
          <w:szCs w:val="22"/>
          <w:lang w:eastAsia="en-US"/>
        </w:rPr>
        <w:t>Using the database suite, d</w:t>
      </w:r>
      <w:r w:rsidR="00D53C02" w:rsidRPr="0000432E">
        <w:rPr>
          <w:rFonts w:eastAsia="Calibri" w:cs="Calibri"/>
          <w:iCs/>
          <w:spacing w:val="-2"/>
          <w:szCs w:val="22"/>
          <w:lang w:eastAsia="en-US"/>
        </w:rPr>
        <w:t>evelop and produce operational reports for the Branch to assist with driving risk-based decisions.</w:t>
      </w:r>
    </w:p>
    <w:p w14:paraId="4E1A2A04" w14:textId="77777777" w:rsidR="00D53C02" w:rsidRPr="0000432E" w:rsidRDefault="00D53C02" w:rsidP="00D53C02">
      <w:pPr>
        <w:widowControl w:val="0"/>
        <w:numPr>
          <w:ilvl w:val="0"/>
          <w:numId w:val="7"/>
        </w:numPr>
        <w:tabs>
          <w:tab w:val="left" w:pos="894"/>
        </w:tabs>
        <w:suppressAutoHyphens w:val="0"/>
        <w:autoSpaceDE w:val="0"/>
        <w:autoSpaceDN w:val="0"/>
        <w:spacing w:after="0"/>
        <w:rPr>
          <w:rFonts w:eastAsia="Calibri" w:cs="Calibri"/>
          <w:iCs/>
          <w:spacing w:val="-2"/>
          <w:szCs w:val="22"/>
          <w:lang w:eastAsia="en-US"/>
        </w:rPr>
      </w:pPr>
      <w:r w:rsidRPr="0000432E">
        <w:rPr>
          <w:rFonts w:eastAsia="Calibri" w:cs="Calibri"/>
          <w:iCs/>
          <w:spacing w:val="-2"/>
          <w:szCs w:val="22"/>
          <w:lang w:eastAsia="en-US"/>
        </w:rPr>
        <w:t>Provide in-house training to staff in the use of PHD and HPS systems including the PHD and HPS SharePoint sites and various databases.</w:t>
      </w:r>
    </w:p>
    <w:p w14:paraId="68EFE087" w14:textId="109E9426" w:rsidR="00D53C02" w:rsidRPr="0000432E" w:rsidRDefault="00D53C02" w:rsidP="00830D51">
      <w:pPr>
        <w:widowControl w:val="0"/>
        <w:numPr>
          <w:ilvl w:val="0"/>
          <w:numId w:val="7"/>
        </w:numPr>
        <w:tabs>
          <w:tab w:val="left" w:pos="894"/>
        </w:tabs>
        <w:suppressAutoHyphens w:val="0"/>
        <w:autoSpaceDE w:val="0"/>
        <w:autoSpaceDN w:val="0"/>
        <w:spacing w:after="0"/>
        <w:rPr>
          <w:rFonts w:eastAsia="Calibri" w:cs="Calibri"/>
          <w:iCs/>
          <w:spacing w:val="-2"/>
          <w:szCs w:val="22"/>
          <w:lang w:eastAsia="en-US"/>
        </w:rPr>
      </w:pPr>
      <w:r w:rsidRPr="0000432E">
        <w:rPr>
          <w:rFonts w:eastAsia="Calibri" w:cs="Calibri"/>
          <w:iCs/>
          <w:spacing w:val="-2"/>
          <w:szCs w:val="22"/>
          <w:lang w:eastAsia="en-US"/>
        </w:rPr>
        <w:t xml:space="preserve">As directed by the PHD Executive Team, undertake research and projects to meet the </w:t>
      </w:r>
      <w:r w:rsidR="005C0912" w:rsidRPr="0000432E">
        <w:rPr>
          <w:rFonts w:eastAsia="Calibri" w:cs="Calibri"/>
          <w:iCs/>
          <w:spacing w:val="-2"/>
          <w:szCs w:val="22"/>
          <w:lang w:eastAsia="en-US"/>
        </w:rPr>
        <w:t>division</w:t>
      </w:r>
      <w:r w:rsidRPr="0000432E">
        <w:rPr>
          <w:rFonts w:eastAsia="Calibri" w:cs="Calibri"/>
          <w:iCs/>
          <w:spacing w:val="-2"/>
          <w:szCs w:val="22"/>
          <w:lang w:eastAsia="en-US"/>
        </w:rPr>
        <w:t>’s business needs.</w:t>
      </w:r>
    </w:p>
    <w:p w14:paraId="55857CC0" w14:textId="77777777" w:rsidR="00D53C02" w:rsidRPr="0000432E" w:rsidRDefault="00D53C02" w:rsidP="00D53C02">
      <w:pPr>
        <w:widowControl w:val="0"/>
        <w:numPr>
          <w:ilvl w:val="0"/>
          <w:numId w:val="7"/>
        </w:numPr>
        <w:tabs>
          <w:tab w:val="left" w:pos="894"/>
        </w:tabs>
        <w:suppressAutoHyphens w:val="0"/>
        <w:autoSpaceDE w:val="0"/>
        <w:autoSpaceDN w:val="0"/>
        <w:spacing w:after="0"/>
        <w:rPr>
          <w:rFonts w:eastAsia="Calibri" w:cs="Calibri"/>
          <w:iCs/>
          <w:spacing w:val="-2"/>
          <w:szCs w:val="22"/>
          <w:lang w:eastAsia="en-US"/>
        </w:rPr>
      </w:pPr>
      <w:r w:rsidRPr="0000432E">
        <w:rPr>
          <w:rFonts w:eastAsia="Calibri" w:cs="Calibri"/>
          <w:iCs/>
          <w:spacing w:val="-2"/>
          <w:szCs w:val="22"/>
          <w:lang w:eastAsia="en-US"/>
        </w:rPr>
        <w:t>Undertake other duties appropriate to this level of classification which contribute to the operation of the section.</w:t>
      </w:r>
    </w:p>
    <w:p w14:paraId="06DE24F0" w14:textId="77777777" w:rsidR="000D7F08" w:rsidRPr="00D53C02" w:rsidRDefault="000D7F08" w:rsidP="000D7F08">
      <w:pPr>
        <w:widowControl w:val="0"/>
        <w:suppressAutoHyphens w:val="0"/>
        <w:autoSpaceDE w:val="0"/>
        <w:autoSpaceDN w:val="0"/>
        <w:spacing w:before="3" w:after="0"/>
        <w:rPr>
          <w:rFonts w:eastAsia="Calibri" w:cs="Calibri"/>
          <w:iCs/>
          <w:sz w:val="19"/>
          <w:szCs w:val="24"/>
          <w:lang w:eastAsia="en-US"/>
        </w:rPr>
      </w:pPr>
    </w:p>
    <w:p w14:paraId="74CC5FE9" w14:textId="7D9472B3" w:rsidR="000D7F08" w:rsidRPr="00D53C02" w:rsidRDefault="00836077" w:rsidP="00836077">
      <w:pPr>
        <w:pStyle w:val="Heading1"/>
        <w:pBdr>
          <w:bottom w:val="single" w:sz="12" w:space="1" w:color="auto"/>
        </w:pBdr>
        <w:rPr>
          <w:rFonts w:asciiTheme="minorHAnsi" w:hAnsiTheme="minorHAnsi"/>
          <w:sz w:val="32"/>
        </w:rPr>
      </w:pPr>
      <w:r w:rsidRPr="00D53C02">
        <w:rPr>
          <w:rFonts w:asciiTheme="minorHAnsi" w:hAnsiTheme="minorHAnsi"/>
          <w:sz w:val="32"/>
        </w:rPr>
        <w:t>WHAT YOU REQUIRE</w:t>
      </w:r>
    </w:p>
    <w:p w14:paraId="5F886E98" w14:textId="77777777" w:rsidR="000D7F08" w:rsidRPr="00D53C02" w:rsidRDefault="000D7F08" w:rsidP="00836077">
      <w:pPr>
        <w:widowControl w:val="0"/>
        <w:suppressAutoHyphens w:val="0"/>
        <w:autoSpaceDE w:val="0"/>
        <w:autoSpaceDN w:val="0"/>
        <w:spacing w:before="51" w:after="0"/>
        <w:outlineLvl w:val="2"/>
        <w:rPr>
          <w:rFonts w:eastAsia="Calibri" w:cs="Calibri"/>
          <w:szCs w:val="24"/>
          <w:lang w:eastAsia="en-US"/>
        </w:rPr>
      </w:pPr>
      <w:r w:rsidRPr="00D53C02">
        <w:rPr>
          <w:rFonts w:eastAsia="Calibri" w:cs="Calibri"/>
          <w:szCs w:val="24"/>
          <w:lang w:eastAsia="en-US"/>
        </w:rPr>
        <w:t>The</w:t>
      </w:r>
      <w:r w:rsidRPr="00D53C02">
        <w:rPr>
          <w:rFonts w:eastAsia="Calibri" w:cs="Calibri"/>
          <w:spacing w:val="-4"/>
          <w:szCs w:val="24"/>
          <w:lang w:eastAsia="en-US"/>
        </w:rPr>
        <w:t xml:space="preserve"> </w:t>
      </w:r>
      <w:r w:rsidRPr="00D53C02">
        <w:rPr>
          <w:rFonts w:eastAsia="Calibri" w:cs="Calibri"/>
          <w:szCs w:val="24"/>
          <w:lang w:eastAsia="en-US"/>
        </w:rPr>
        <w:t>following</w:t>
      </w:r>
      <w:r w:rsidRPr="00D53C02">
        <w:rPr>
          <w:rFonts w:eastAsia="Calibri" w:cs="Calibri"/>
          <w:spacing w:val="-5"/>
          <w:szCs w:val="24"/>
          <w:lang w:eastAsia="en-US"/>
        </w:rPr>
        <w:t xml:space="preserve"> </w:t>
      </w:r>
      <w:r w:rsidRPr="00D53C02">
        <w:rPr>
          <w:rFonts w:eastAsia="Calibri" w:cs="Calibri"/>
          <w:szCs w:val="24"/>
          <w:lang w:eastAsia="en-US"/>
        </w:rPr>
        <w:t>capabilities</w:t>
      </w:r>
      <w:r w:rsidRPr="00D53C02">
        <w:rPr>
          <w:rFonts w:eastAsia="Calibri" w:cs="Calibri"/>
          <w:spacing w:val="-3"/>
          <w:szCs w:val="24"/>
          <w:lang w:eastAsia="en-US"/>
        </w:rPr>
        <w:t xml:space="preserve"> </w:t>
      </w:r>
      <w:r w:rsidRPr="00D53C02">
        <w:rPr>
          <w:rFonts w:eastAsia="Calibri" w:cs="Calibri"/>
          <w:szCs w:val="24"/>
          <w:lang w:eastAsia="en-US"/>
        </w:rPr>
        <w:t>form</w:t>
      </w:r>
      <w:r w:rsidRPr="00D53C02">
        <w:rPr>
          <w:rFonts w:eastAsia="Calibri" w:cs="Calibri"/>
          <w:spacing w:val="-5"/>
          <w:szCs w:val="24"/>
          <w:lang w:eastAsia="en-US"/>
        </w:rPr>
        <w:t xml:space="preserve"> </w:t>
      </w:r>
      <w:r w:rsidRPr="00D53C02">
        <w:rPr>
          <w:rFonts w:eastAsia="Calibri" w:cs="Calibri"/>
          <w:szCs w:val="24"/>
          <w:lang w:eastAsia="en-US"/>
        </w:rPr>
        <w:t>the</w:t>
      </w:r>
      <w:r w:rsidRPr="00D53C02">
        <w:rPr>
          <w:rFonts w:eastAsia="Calibri" w:cs="Calibri"/>
          <w:spacing w:val="-2"/>
          <w:szCs w:val="24"/>
          <w:lang w:eastAsia="en-US"/>
        </w:rPr>
        <w:t xml:space="preserve"> </w:t>
      </w:r>
      <w:r w:rsidRPr="00D53C02">
        <w:rPr>
          <w:rFonts w:eastAsia="Calibri" w:cs="Calibri"/>
          <w:szCs w:val="24"/>
          <w:lang w:eastAsia="en-US"/>
        </w:rPr>
        <w:t>criteria</w:t>
      </w:r>
      <w:r w:rsidRPr="00D53C02">
        <w:rPr>
          <w:rFonts w:eastAsia="Calibri" w:cs="Calibri"/>
          <w:spacing w:val="-5"/>
          <w:szCs w:val="24"/>
          <w:lang w:eastAsia="en-US"/>
        </w:rPr>
        <w:t xml:space="preserve"> </w:t>
      </w:r>
      <w:r w:rsidRPr="00D53C02">
        <w:rPr>
          <w:rFonts w:eastAsia="Calibri" w:cs="Calibri"/>
          <w:szCs w:val="24"/>
          <w:lang w:eastAsia="en-US"/>
        </w:rPr>
        <w:t>that are</w:t>
      </w:r>
      <w:r w:rsidRPr="00D53C02">
        <w:rPr>
          <w:rFonts w:eastAsia="Calibri" w:cs="Calibri"/>
          <w:spacing w:val="-2"/>
          <w:szCs w:val="24"/>
          <w:lang w:eastAsia="en-US"/>
        </w:rPr>
        <w:t xml:space="preserve"> </w:t>
      </w:r>
      <w:r w:rsidRPr="00D53C02">
        <w:rPr>
          <w:rFonts w:eastAsia="Calibri" w:cs="Calibri"/>
          <w:szCs w:val="24"/>
          <w:lang w:eastAsia="en-US"/>
        </w:rPr>
        <w:t>required</w:t>
      </w:r>
      <w:r w:rsidRPr="00D53C02">
        <w:rPr>
          <w:rFonts w:eastAsia="Calibri" w:cs="Calibri"/>
          <w:spacing w:val="-4"/>
          <w:szCs w:val="24"/>
          <w:lang w:eastAsia="en-US"/>
        </w:rPr>
        <w:t xml:space="preserve"> </w:t>
      </w:r>
      <w:r w:rsidRPr="00D53C02">
        <w:rPr>
          <w:rFonts w:eastAsia="Calibri" w:cs="Calibri"/>
          <w:szCs w:val="24"/>
          <w:lang w:eastAsia="en-US"/>
        </w:rPr>
        <w:t>to</w:t>
      </w:r>
      <w:r w:rsidRPr="00D53C02">
        <w:rPr>
          <w:rFonts w:eastAsia="Calibri" w:cs="Calibri"/>
          <w:spacing w:val="-2"/>
          <w:szCs w:val="24"/>
          <w:lang w:eastAsia="en-US"/>
        </w:rPr>
        <w:t xml:space="preserve"> </w:t>
      </w:r>
      <w:r w:rsidRPr="00D53C02">
        <w:rPr>
          <w:rFonts w:eastAsia="Calibri" w:cs="Calibri"/>
          <w:szCs w:val="24"/>
          <w:lang w:eastAsia="en-US"/>
        </w:rPr>
        <w:t>perform</w:t>
      </w:r>
      <w:r w:rsidRPr="00D53C02">
        <w:rPr>
          <w:rFonts w:eastAsia="Calibri" w:cs="Calibri"/>
          <w:spacing w:val="-4"/>
          <w:szCs w:val="24"/>
          <w:lang w:eastAsia="en-US"/>
        </w:rPr>
        <w:t xml:space="preserve"> </w:t>
      </w:r>
      <w:r w:rsidRPr="00D53C02">
        <w:rPr>
          <w:rFonts w:eastAsia="Calibri" w:cs="Calibri"/>
          <w:szCs w:val="24"/>
          <w:lang w:eastAsia="en-US"/>
        </w:rPr>
        <w:t>the</w:t>
      </w:r>
      <w:r w:rsidRPr="00D53C02">
        <w:rPr>
          <w:rFonts w:eastAsia="Calibri" w:cs="Calibri"/>
          <w:spacing w:val="-4"/>
          <w:szCs w:val="24"/>
          <w:lang w:eastAsia="en-US"/>
        </w:rPr>
        <w:t xml:space="preserve"> </w:t>
      </w:r>
      <w:r w:rsidRPr="00D53C02">
        <w:rPr>
          <w:rFonts w:eastAsia="Calibri" w:cs="Calibri"/>
          <w:szCs w:val="24"/>
          <w:lang w:eastAsia="en-US"/>
        </w:rPr>
        <w:t>duties</w:t>
      </w:r>
      <w:r w:rsidRPr="00D53C02">
        <w:rPr>
          <w:rFonts w:eastAsia="Calibri" w:cs="Calibri"/>
          <w:spacing w:val="-2"/>
          <w:szCs w:val="24"/>
          <w:lang w:eastAsia="en-US"/>
        </w:rPr>
        <w:t xml:space="preserve"> </w:t>
      </w:r>
      <w:r w:rsidRPr="00D53C02">
        <w:rPr>
          <w:rFonts w:eastAsia="Calibri" w:cs="Calibri"/>
          <w:szCs w:val="24"/>
          <w:lang w:eastAsia="en-US"/>
        </w:rPr>
        <w:t>and responsibilities of the position.</w:t>
      </w:r>
    </w:p>
    <w:p w14:paraId="1007AE4A" w14:textId="77777777" w:rsidR="000D7F08" w:rsidRPr="00D53C02" w:rsidRDefault="000D7F08" w:rsidP="00836077">
      <w:pPr>
        <w:widowControl w:val="0"/>
        <w:suppressAutoHyphens w:val="0"/>
        <w:autoSpaceDE w:val="0"/>
        <w:autoSpaceDN w:val="0"/>
        <w:spacing w:before="8" w:after="0"/>
        <w:rPr>
          <w:rFonts w:eastAsia="Calibri" w:cs="Calibri"/>
          <w:iCs/>
          <w:sz w:val="19"/>
          <w:szCs w:val="24"/>
          <w:lang w:eastAsia="en-US"/>
        </w:rPr>
      </w:pPr>
    </w:p>
    <w:p w14:paraId="481D05C0" w14:textId="77777777" w:rsidR="000D7F08" w:rsidRPr="00D53C02" w:rsidRDefault="000D7F08" w:rsidP="00836077">
      <w:pPr>
        <w:widowControl w:val="0"/>
        <w:suppressAutoHyphens w:val="0"/>
        <w:autoSpaceDE w:val="0"/>
        <w:autoSpaceDN w:val="0"/>
        <w:spacing w:after="0"/>
        <w:outlineLvl w:val="1"/>
        <w:rPr>
          <w:rFonts w:eastAsia="Calibri" w:cs="Calibri"/>
          <w:b/>
          <w:bCs/>
          <w:sz w:val="28"/>
          <w:szCs w:val="28"/>
          <w:lang w:eastAsia="en-US"/>
        </w:rPr>
      </w:pPr>
      <w:r w:rsidRPr="00D53C02">
        <w:rPr>
          <w:rFonts w:eastAsia="Calibri" w:cs="Calibri"/>
          <w:b/>
          <w:bCs/>
          <w:sz w:val="28"/>
          <w:szCs w:val="28"/>
          <w:lang w:eastAsia="en-US"/>
        </w:rPr>
        <w:t>Professional</w:t>
      </w:r>
      <w:r w:rsidRPr="00D53C02">
        <w:rPr>
          <w:rFonts w:eastAsia="Calibri" w:cs="Calibri"/>
          <w:b/>
          <w:bCs/>
          <w:spacing w:val="-5"/>
          <w:sz w:val="28"/>
          <w:szCs w:val="28"/>
          <w:lang w:eastAsia="en-US"/>
        </w:rPr>
        <w:t xml:space="preserve"> </w:t>
      </w:r>
      <w:r w:rsidRPr="00D53C02">
        <w:rPr>
          <w:rFonts w:eastAsia="Calibri" w:cs="Calibri"/>
          <w:b/>
          <w:bCs/>
          <w:sz w:val="28"/>
          <w:szCs w:val="28"/>
          <w:lang w:eastAsia="en-US"/>
        </w:rPr>
        <w:t>/</w:t>
      </w:r>
      <w:r w:rsidRPr="00D53C02">
        <w:rPr>
          <w:rFonts w:eastAsia="Calibri" w:cs="Calibri"/>
          <w:b/>
          <w:bCs/>
          <w:spacing w:val="-7"/>
          <w:sz w:val="28"/>
          <w:szCs w:val="28"/>
          <w:lang w:eastAsia="en-US"/>
        </w:rPr>
        <w:t xml:space="preserve"> </w:t>
      </w:r>
      <w:r w:rsidRPr="00D53C02">
        <w:rPr>
          <w:rFonts w:eastAsia="Calibri" w:cs="Calibri"/>
          <w:b/>
          <w:bCs/>
          <w:sz w:val="28"/>
          <w:szCs w:val="28"/>
          <w:lang w:eastAsia="en-US"/>
        </w:rPr>
        <w:t>Technical</w:t>
      </w:r>
      <w:r w:rsidRPr="00D53C02">
        <w:rPr>
          <w:rFonts w:eastAsia="Calibri" w:cs="Calibri"/>
          <w:b/>
          <w:bCs/>
          <w:spacing w:val="-3"/>
          <w:sz w:val="28"/>
          <w:szCs w:val="28"/>
          <w:lang w:eastAsia="en-US"/>
        </w:rPr>
        <w:t xml:space="preserve"> </w:t>
      </w:r>
      <w:r w:rsidRPr="00D53C02">
        <w:rPr>
          <w:rFonts w:eastAsia="Calibri" w:cs="Calibri"/>
          <w:b/>
          <w:bCs/>
          <w:sz w:val="28"/>
          <w:szCs w:val="28"/>
          <w:lang w:eastAsia="en-US"/>
        </w:rPr>
        <w:t>Skills</w:t>
      </w:r>
      <w:r w:rsidRPr="00D53C02">
        <w:rPr>
          <w:rFonts w:eastAsia="Calibri" w:cs="Calibri"/>
          <w:b/>
          <w:bCs/>
          <w:spacing w:val="-5"/>
          <w:sz w:val="28"/>
          <w:szCs w:val="28"/>
          <w:lang w:eastAsia="en-US"/>
        </w:rPr>
        <w:t xml:space="preserve"> </w:t>
      </w:r>
      <w:r w:rsidRPr="00D53C02">
        <w:rPr>
          <w:rFonts w:eastAsia="Calibri" w:cs="Calibri"/>
          <w:b/>
          <w:bCs/>
          <w:sz w:val="28"/>
          <w:szCs w:val="28"/>
          <w:lang w:eastAsia="en-US"/>
        </w:rPr>
        <w:t>and</w:t>
      </w:r>
      <w:r w:rsidRPr="00D53C02">
        <w:rPr>
          <w:rFonts w:eastAsia="Calibri" w:cs="Calibri"/>
          <w:b/>
          <w:bCs/>
          <w:spacing w:val="-4"/>
          <w:sz w:val="28"/>
          <w:szCs w:val="28"/>
          <w:lang w:eastAsia="en-US"/>
        </w:rPr>
        <w:t xml:space="preserve"> </w:t>
      </w:r>
      <w:r w:rsidRPr="00D53C02">
        <w:rPr>
          <w:rFonts w:eastAsia="Calibri" w:cs="Calibri"/>
          <w:b/>
          <w:bCs/>
          <w:spacing w:val="-2"/>
          <w:sz w:val="28"/>
          <w:szCs w:val="28"/>
          <w:lang w:eastAsia="en-US"/>
        </w:rPr>
        <w:t>Knowledge</w:t>
      </w:r>
    </w:p>
    <w:p w14:paraId="34A0E018" w14:textId="51BE3846" w:rsidR="0035612B" w:rsidRPr="0035612B" w:rsidRDefault="0035612B" w:rsidP="00725E64">
      <w:pPr>
        <w:widowControl w:val="0"/>
        <w:numPr>
          <w:ilvl w:val="0"/>
          <w:numId w:val="6"/>
        </w:numPr>
        <w:tabs>
          <w:tab w:val="left" w:pos="961"/>
        </w:tabs>
        <w:suppressAutoHyphens w:val="0"/>
        <w:autoSpaceDE w:val="0"/>
        <w:autoSpaceDN w:val="0"/>
        <w:spacing w:before="240"/>
        <w:ind w:left="788" w:hanging="361"/>
        <w:rPr>
          <w:rFonts w:eastAsia="Calibri" w:cs="Calibri"/>
          <w:iCs/>
          <w:szCs w:val="22"/>
          <w:lang w:eastAsia="en-US"/>
        </w:rPr>
      </w:pPr>
      <w:r w:rsidRPr="0035612B">
        <w:rPr>
          <w:rFonts w:eastAsia="Calibri" w:cs="Calibri"/>
          <w:iCs/>
          <w:szCs w:val="22"/>
          <w:lang w:eastAsia="en-US"/>
        </w:rPr>
        <w:t>Ability to use, administer and maintain systems including databases and document management systems.</w:t>
      </w:r>
    </w:p>
    <w:p w14:paraId="55A898DF" w14:textId="327133D1" w:rsidR="000D7F08" w:rsidRPr="0035612B" w:rsidRDefault="0035612B" w:rsidP="0035612B">
      <w:pPr>
        <w:widowControl w:val="0"/>
        <w:numPr>
          <w:ilvl w:val="0"/>
          <w:numId w:val="6"/>
        </w:numPr>
        <w:tabs>
          <w:tab w:val="left" w:pos="961"/>
        </w:tabs>
        <w:suppressAutoHyphens w:val="0"/>
        <w:autoSpaceDE w:val="0"/>
        <w:autoSpaceDN w:val="0"/>
        <w:ind w:left="788" w:hanging="361"/>
        <w:rPr>
          <w:rFonts w:eastAsia="Calibri" w:cs="Calibri"/>
          <w:iCs/>
          <w:szCs w:val="22"/>
          <w:lang w:eastAsia="en-US"/>
        </w:rPr>
      </w:pPr>
      <w:r w:rsidRPr="0035612B">
        <w:rPr>
          <w:rFonts w:eastAsia="Calibri" w:cs="Calibri"/>
          <w:iCs/>
          <w:szCs w:val="22"/>
          <w:lang w:eastAsia="en-US"/>
        </w:rPr>
        <w:t>Ability to analyse data to produce reports with basic statistics and trends, and to validate the data.</w:t>
      </w:r>
    </w:p>
    <w:p w14:paraId="7DD90444" w14:textId="790DF02E" w:rsidR="000D7F08" w:rsidRPr="0035612B" w:rsidRDefault="0035612B" w:rsidP="0035612B">
      <w:pPr>
        <w:widowControl w:val="0"/>
        <w:numPr>
          <w:ilvl w:val="0"/>
          <w:numId w:val="6"/>
        </w:numPr>
        <w:tabs>
          <w:tab w:val="left" w:pos="961"/>
        </w:tabs>
        <w:suppressAutoHyphens w:val="0"/>
        <w:autoSpaceDE w:val="0"/>
        <w:autoSpaceDN w:val="0"/>
        <w:ind w:left="788" w:hanging="361"/>
        <w:rPr>
          <w:rFonts w:eastAsia="Calibri" w:cs="Calibri"/>
          <w:iCs/>
          <w:szCs w:val="22"/>
          <w:lang w:eastAsia="en-US"/>
        </w:rPr>
      </w:pPr>
      <w:r w:rsidRPr="0035612B">
        <w:rPr>
          <w:rFonts w:eastAsia="Calibri" w:cs="Calibri"/>
          <w:iCs/>
          <w:szCs w:val="22"/>
          <w:lang w:eastAsia="en-US"/>
        </w:rPr>
        <w:lastRenderedPageBreak/>
        <w:t>Proven organisational skills with the ability to set priorities, manage competing demands and work effectively under pressure on a variety of tasks.</w:t>
      </w:r>
    </w:p>
    <w:p w14:paraId="64B5A53D" w14:textId="681A946D" w:rsidR="000D7F08" w:rsidRPr="0035612B" w:rsidRDefault="0035612B" w:rsidP="0035612B">
      <w:pPr>
        <w:widowControl w:val="0"/>
        <w:numPr>
          <w:ilvl w:val="0"/>
          <w:numId w:val="6"/>
        </w:numPr>
        <w:tabs>
          <w:tab w:val="left" w:pos="961"/>
        </w:tabs>
        <w:suppressAutoHyphens w:val="0"/>
        <w:autoSpaceDE w:val="0"/>
        <w:autoSpaceDN w:val="0"/>
        <w:ind w:left="788" w:hanging="361"/>
        <w:rPr>
          <w:rFonts w:eastAsia="Calibri" w:cs="Calibri"/>
          <w:iCs/>
          <w:szCs w:val="22"/>
          <w:lang w:eastAsia="en-US"/>
        </w:rPr>
      </w:pPr>
      <w:r w:rsidRPr="0035612B">
        <w:rPr>
          <w:rFonts w:eastAsia="Calibri" w:cs="Calibri"/>
          <w:iCs/>
          <w:szCs w:val="22"/>
          <w:lang w:eastAsia="en-US"/>
        </w:rPr>
        <w:t xml:space="preserve"> Well-developed oral and written communication skills with the ability to negotiate and liaise with stakeholders and prepare project plans, communication materials, reports, briefings and correspondence.</w:t>
      </w:r>
    </w:p>
    <w:p w14:paraId="0637C540" w14:textId="20870BA1" w:rsidR="000D7F08" w:rsidRPr="0035612B" w:rsidRDefault="000D7F08" w:rsidP="0035612B">
      <w:pPr>
        <w:widowControl w:val="0"/>
        <w:suppressAutoHyphens w:val="0"/>
        <w:autoSpaceDE w:val="0"/>
        <w:autoSpaceDN w:val="0"/>
        <w:outlineLvl w:val="1"/>
        <w:rPr>
          <w:rFonts w:eastAsia="Calibri" w:cs="Calibri"/>
          <w:b/>
          <w:bCs/>
          <w:sz w:val="28"/>
          <w:szCs w:val="28"/>
          <w:lang w:eastAsia="en-US"/>
        </w:rPr>
      </w:pPr>
      <w:r w:rsidRPr="00D53C02">
        <w:rPr>
          <w:rFonts w:eastAsia="Calibri" w:cs="Calibri"/>
          <w:b/>
          <w:bCs/>
          <w:sz w:val="28"/>
          <w:szCs w:val="28"/>
          <w:lang w:eastAsia="en-US"/>
        </w:rPr>
        <w:t>Behavioural</w:t>
      </w:r>
      <w:r w:rsidRPr="00D53C02">
        <w:rPr>
          <w:rFonts w:eastAsia="Calibri" w:cs="Calibri"/>
          <w:b/>
          <w:bCs/>
          <w:spacing w:val="-7"/>
          <w:sz w:val="28"/>
          <w:szCs w:val="28"/>
          <w:lang w:eastAsia="en-US"/>
        </w:rPr>
        <w:t xml:space="preserve"> </w:t>
      </w:r>
      <w:r w:rsidRPr="00D53C02">
        <w:rPr>
          <w:rFonts w:eastAsia="Calibri" w:cs="Calibri"/>
          <w:b/>
          <w:bCs/>
          <w:spacing w:val="-2"/>
          <w:sz w:val="28"/>
          <w:szCs w:val="28"/>
          <w:lang w:eastAsia="en-US"/>
        </w:rPr>
        <w:t>Capabilities</w:t>
      </w:r>
    </w:p>
    <w:p w14:paraId="4A4A594E" w14:textId="303DFB49" w:rsidR="000D7F08" w:rsidRPr="0035612B" w:rsidRDefault="0035612B" w:rsidP="0035612B">
      <w:pPr>
        <w:widowControl w:val="0"/>
        <w:numPr>
          <w:ilvl w:val="0"/>
          <w:numId w:val="6"/>
        </w:numPr>
        <w:tabs>
          <w:tab w:val="left" w:pos="961"/>
        </w:tabs>
        <w:suppressAutoHyphens w:val="0"/>
        <w:autoSpaceDE w:val="0"/>
        <w:autoSpaceDN w:val="0"/>
        <w:ind w:left="788" w:hanging="361"/>
        <w:rPr>
          <w:rFonts w:eastAsia="Calibri" w:cs="Calibri"/>
          <w:iCs/>
          <w:szCs w:val="22"/>
          <w:lang w:eastAsia="en-US"/>
        </w:rPr>
      </w:pPr>
      <w:r w:rsidRPr="0035612B">
        <w:rPr>
          <w:rFonts w:eastAsia="Calibri" w:cs="Calibri"/>
          <w:iCs/>
          <w:szCs w:val="22"/>
          <w:lang w:eastAsia="en-US"/>
        </w:rPr>
        <w:t>Ability to work effectively as part of a team and independently.</w:t>
      </w:r>
    </w:p>
    <w:p w14:paraId="36FA5E35" w14:textId="67F0EB7D" w:rsidR="000D7F08" w:rsidRPr="0035612B" w:rsidRDefault="0035612B" w:rsidP="0035612B">
      <w:pPr>
        <w:widowControl w:val="0"/>
        <w:numPr>
          <w:ilvl w:val="0"/>
          <w:numId w:val="6"/>
        </w:numPr>
        <w:tabs>
          <w:tab w:val="left" w:pos="961"/>
        </w:tabs>
        <w:suppressAutoHyphens w:val="0"/>
        <w:autoSpaceDE w:val="0"/>
        <w:autoSpaceDN w:val="0"/>
        <w:ind w:left="788" w:hanging="361"/>
        <w:rPr>
          <w:rFonts w:eastAsia="Calibri" w:cs="Calibri"/>
          <w:iCs/>
          <w:szCs w:val="22"/>
          <w:lang w:eastAsia="en-US"/>
        </w:rPr>
      </w:pPr>
      <w:r w:rsidRPr="0035612B">
        <w:rPr>
          <w:rFonts w:eastAsia="Calibri" w:cs="Calibri"/>
          <w:iCs/>
          <w:szCs w:val="22"/>
          <w:lang w:eastAsia="en-US"/>
        </w:rPr>
        <w:t xml:space="preserve"> Ability to deliver and operate in a complex and dynamic environment with minimal supervision, to work under pressure and within tight timeframes.</w:t>
      </w:r>
    </w:p>
    <w:p w14:paraId="3DFCF30B" w14:textId="0F767B5C" w:rsidR="000D7F08" w:rsidRPr="0035612B" w:rsidRDefault="0035612B" w:rsidP="0035612B">
      <w:pPr>
        <w:widowControl w:val="0"/>
        <w:numPr>
          <w:ilvl w:val="0"/>
          <w:numId w:val="6"/>
        </w:numPr>
        <w:tabs>
          <w:tab w:val="left" w:pos="961"/>
        </w:tabs>
        <w:suppressAutoHyphens w:val="0"/>
        <w:autoSpaceDE w:val="0"/>
        <w:autoSpaceDN w:val="0"/>
        <w:ind w:left="788" w:hanging="361"/>
        <w:rPr>
          <w:rFonts w:eastAsia="Calibri" w:cs="Calibri"/>
          <w:iCs/>
          <w:szCs w:val="22"/>
          <w:lang w:eastAsia="en-US"/>
        </w:rPr>
      </w:pPr>
      <w:r w:rsidRPr="0035612B">
        <w:rPr>
          <w:rFonts w:eastAsia="Calibri" w:cs="Calibri"/>
          <w:iCs/>
          <w:szCs w:val="22"/>
          <w:lang w:eastAsia="en-US"/>
        </w:rPr>
        <w:t>Display behaviours that are consistent with the ACTPS values of Respect, Integrity, Collaboration and Innovation.</w:t>
      </w:r>
    </w:p>
    <w:p w14:paraId="4B7B51E0" w14:textId="77777777" w:rsidR="000D7F08" w:rsidRPr="00D53C02" w:rsidRDefault="000D7F08" w:rsidP="00836077">
      <w:pPr>
        <w:widowControl w:val="0"/>
        <w:suppressAutoHyphens w:val="0"/>
        <w:autoSpaceDE w:val="0"/>
        <w:autoSpaceDN w:val="0"/>
        <w:spacing w:after="0"/>
        <w:outlineLvl w:val="1"/>
        <w:rPr>
          <w:rFonts w:eastAsia="Calibri" w:cs="Calibri"/>
          <w:b/>
          <w:bCs/>
          <w:sz w:val="28"/>
          <w:szCs w:val="28"/>
          <w:lang w:eastAsia="en-US"/>
        </w:rPr>
      </w:pPr>
      <w:r w:rsidRPr="00D53C02">
        <w:rPr>
          <w:rFonts w:eastAsia="Calibri" w:cs="Calibri"/>
          <w:b/>
          <w:bCs/>
          <w:sz w:val="28"/>
          <w:szCs w:val="28"/>
          <w:lang w:eastAsia="en-US"/>
        </w:rPr>
        <w:t>Compliance</w:t>
      </w:r>
      <w:r w:rsidRPr="00D53C02">
        <w:rPr>
          <w:rFonts w:eastAsia="Calibri" w:cs="Calibri"/>
          <w:b/>
          <w:bCs/>
          <w:spacing w:val="-7"/>
          <w:sz w:val="28"/>
          <w:szCs w:val="28"/>
          <w:lang w:eastAsia="en-US"/>
        </w:rPr>
        <w:t xml:space="preserve"> </w:t>
      </w:r>
      <w:r w:rsidRPr="00D53C02">
        <w:rPr>
          <w:rFonts w:eastAsia="Calibri" w:cs="Calibri"/>
          <w:b/>
          <w:bCs/>
          <w:sz w:val="28"/>
          <w:szCs w:val="28"/>
          <w:lang w:eastAsia="en-US"/>
        </w:rPr>
        <w:t>Requirements</w:t>
      </w:r>
      <w:r w:rsidRPr="00D53C02">
        <w:rPr>
          <w:rFonts w:eastAsia="Calibri" w:cs="Calibri"/>
          <w:b/>
          <w:bCs/>
          <w:spacing w:val="-5"/>
          <w:sz w:val="28"/>
          <w:szCs w:val="28"/>
          <w:lang w:eastAsia="en-US"/>
        </w:rPr>
        <w:t xml:space="preserve"> </w:t>
      </w:r>
      <w:r w:rsidRPr="00D53C02">
        <w:rPr>
          <w:rFonts w:eastAsia="Calibri" w:cs="Calibri"/>
          <w:b/>
          <w:bCs/>
          <w:sz w:val="28"/>
          <w:szCs w:val="28"/>
          <w:lang w:eastAsia="en-US"/>
        </w:rPr>
        <w:t>/</w:t>
      </w:r>
      <w:r w:rsidRPr="00D53C02">
        <w:rPr>
          <w:rFonts w:eastAsia="Calibri" w:cs="Calibri"/>
          <w:b/>
          <w:bCs/>
          <w:spacing w:val="-7"/>
          <w:sz w:val="28"/>
          <w:szCs w:val="28"/>
          <w:lang w:eastAsia="en-US"/>
        </w:rPr>
        <w:t xml:space="preserve"> </w:t>
      </w:r>
      <w:r w:rsidRPr="00D53C02">
        <w:rPr>
          <w:rFonts w:eastAsia="Calibri" w:cs="Calibri"/>
          <w:b/>
          <w:bCs/>
          <w:spacing w:val="-2"/>
          <w:sz w:val="28"/>
          <w:szCs w:val="28"/>
          <w:lang w:eastAsia="en-US"/>
        </w:rPr>
        <w:t>Qualifications</w:t>
      </w:r>
    </w:p>
    <w:p w14:paraId="61FF833E" w14:textId="77777777" w:rsidR="00725E64" w:rsidRPr="00725E64" w:rsidRDefault="00725E64" w:rsidP="00CD6F49">
      <w:pPr>
        <w:widowControl w:val="0"/>
        <w:numPr>
          <w:ilvl w:val="0"/>
          <w:numId w:val="8"/>
        </w:numPr>
        <w:tabs>
          <w:tab w:val="left" w:pos="894"/>
        </w:tabs>
        <w:suppressAutoHyphens w:val="0"/>
        <w:autoSpaceDE w:val="0"/>
        <w:autoSpaceDN w:val="0"/>
        <w:spacing w:before="43" w:after="0" w:line="276" w:lineRule="auto"/>
        <w:ind w:left="721" w:right="238"/>
        <w:rPr>
          <w:rFonts w:eastAsia="Calibri" w:cs="Calibri"/>
          <w:iCs/>
          <w:sz w:val="23"/>
          <w:szCs w:val="24"/>
          <w:lang w:eastAsia="en-US"/>
        </w:rPr>
      </w:pPr>
      <w:r w:rsidRPr="00725E64">
        <w:rPr>
          <w:rFonts w:eastAsia="Calibri" w:cs="Calibri"/>
          <w:szCs w:val="22"/>
          <w:lang w:eastAsia="en-US"/>
        </w:rPr>
        <w:t>Prior to commencement, the successful candidate will be required to undergo a pre-employment National Police Check.</w:t>
      </w:r>
    </w:p>
    <w:p w14:paraId="5FEF930F" w14:textId="4B364AE3" w:rsidR="000D7F08" w:rsidRPr="00725E64" w:rsidRDefault="000D7F08" w:rsidP="00725E64">
      <w:pPr>
        <w:widowControl w:val="0"/>
        <w:numPr>
          <w:ilvl w:val="0"/>
          <w:numId w:val="8"/>
        </w:numPr>
        <w:tabs>
          <w:tab w:val="left" w:pos="894"/>
        </w:tabs>
        <w:suppressAutoHyphens w:val="0"/>
        <w:autoSpaceDE w:val="0"/>
        <w:autoSpaceDN w:val="0"/>
        <w:spacing w:before="43" w:after="0" w:line="276" w:lineRule="auto"/>
        <w:ind w:left="721" w:right="238"/>
        <w:rPr>
          <w:rFonts w:eastAsia="Calibri" w:cs="Calibri"/>
          <w:iCs/>
          <w:sz w:val="23"/>
          <w:szCs w:val="24"/>
          <w:lang w:eastAsia="en-US"/>
        </w:rPr>
      </w:pPr>
      <w:r w:rsidRPr="00725E64">
        <w:rPr>
          <w:rFonts w:eastAsia="Calibri" w:cs="Calibri"/>
          <w:szCs w:val="22"/>
          <w:lang w:eastAsia="en-US"/>
        </w:rPr>
        <w:t>This</w:t>
      </w:r>
      <w:r w:rsidRPr="00725E64">
        <w:rPr>
          <w:rFonts w:eastAsia="Calibri" w:cs="Calibri"/>
          <w:spacing w:val="-5"/>
          <w:szCs w:val="22"/>
          <w:lang w:eastAsia="en-US"/>
        </w:rPr>
        <w:t xml:space="preserve"> </w:t>
      </w:r>
      <w:r w:rsidRPr="00725E64">
        <w:rPr>
          <w:rFonts w:eastAsia="Calibri" w:cs="Calibri"/>
          <w:szCs w:val="22"/>
          <w:lang w:eastAsia="en-US"/>
        </w:rPr>
        <w:t>position does not require a</w:t>
      </w:r>
      <w:r w:rsidRPr="00725E64">
        <w:rPr>
          <w:rFonts w:eastAsia="Calibri" w:cs="Calibri"/>
          <w:spacing w:val="-5"/>
          <w:szCs w:val="22"/>
          <w:lang w:eastAsia="en-US"/>
        </w:rPr>
        <w:t xml:space="preserve"> </w:t>
      </w:r>
      <w:r w:rsidRPr="00725E64">
        <w:rPr>
          <w:rFonts w:eastAsia="Calibri" w:cs="Calibri"/>
          <w:szCs w:val="22"/>
          <w:lang w:eastAsia="en-US"/>
        </w:rPr>
        <w:t>pre-employment</w:t>
      </w:r>
      <w:r w:rsidRPr="00725E64">
        <w:rPr>
          <w:rFonts w:eastAsia="Calibri" w:cs="Calibri"/>
          <w:spacing w:val="-4"/>
          <w:szCs w:val="22"/>
          <w:lang w:eastAsia="en-US"/>
        </w:rPr>
        <w:t xml:space="preserve"> </w:t>
      </w:r>
      <w:r w:rsidRPr="00725E64">
        <w:rPr>
          <w:rFonts w:eastAsia="Calibri" w:cs="Calibri"/>
          <w:szCs w:val="22"/>
          <w:lang w:eastAsia="en-US"/>
        </w:rPr>
        <w:t>medical</w:t>
      </w:r>
      <w:r w:rsidR="00725E64" w:rsidRPr="00725E64">
        <w:rPr>
          <w:rFonts w:eastAsia="Calibri" w:cs="Calibri"/>
          <w:spacing w:val="-4"/>
          <w:szCs w:val="22"/>
          <w:lang w:eastAsia="en-US"/>
        </w:rPr>
        <w:t>.</w:t>
      </w:r>
    </w:p>
    <w:sectPr w:rsidR="000D7F08" w:rsidRPr="00725E64"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91C7" w14:textId="77777777" w:rsidR="000D0FF4" w:rsidRDefault="000D0FF4" w:rsidP="00456927">
      <w:pPr>
        <w:spacing w:after="0"/>
      </w:pPr>
      <w:r>
        <w:separator/>
      </w:r>
    </w:p>
  </w:endnote>
  <w:endnote w:type="continuationSeparator" w:id="0">
    <w:p w14:paraId="4618A3AA" w14:textId="77777777" w:rsidR="000D0FF4" w:rsidRDefault="000D0FF4"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56F4" w14:textId="77777777" w:rsidR="000D0FF4" w:rsidRDefault="000D0FF4" w:rsidP="00456927">
      <w:pPr>
        <w:spacing w:after="0"/>
      </w:pPr>
      <w:r>
        <w:separator/>
      </w:r>
    </w:p>
  </w:footnote>
  <w:footnote w:type="continuationSeparator" w:id="0">
    <w:p w14:paraId="22668EC4" w14:textId="77777777" w:rsidR="000D0FF4" w:rsidRDefault="000D0FF4"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6" w15:restartNumberingAfterBreak="0">
    <w:nsid w:val="79FB6291"/>
    <w:multiLevelType w:val="hybridMultilevel"/>
    <w:tmpl w:val="8DB2852C"/>
    <w:lvl w:ilvl="0" w:tplc="73F62354">
      <w:start w:val="1"/>
      <w:numFmt w:val="decimal"/>
      <w:lvlText w:val="%1."/>
      <w:lvlJc w:val="left"/>
      <w:pPr>
        <w:ind w:left="960" w:hanging="360"/>
      </w:pPr>
      <w:rPr>
        <w:rFonts w:ascii="Calibri" w:eastAsia="Calibri" w:hAnsi="Calibri" w:cs="Calibri" w:hint="default"/>
        <w:b w:val="0"/>
        <w:bCs w:val="0"/>
        <w:i w:val="0"/>
        <w:iCs w:val="0"/>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4"/>
  </w:num>
  <w:num w:numId="2" w16cid:durableId="514737056">
    <w:abstractNumId w:val="5"/>
  </w:num>
  <w:num w:numId="3" w16cid:durableId="1723825570">
    <w:abstractNumId w:val="1"/>
  </w:num>
  <w:num w:numId="4" w16cid:durableId="70471809">
    <w:abstractNumId w:val="0"/>
  </w:num>
  <w:num w:numId="5" w16cid:durableId="1957448669">
    <w:abstractNumId w:val="7"/>
  </w:num>
  <w:num w:numId="6" w16cid:durableId="150024751">
    <w:abstractNumId w:val="6"/>
  </w:num>
  <w:num w:numId="7" w16cid:durableId="1376201116">
    <w:abstractNumId w:val="2"/>
  </w:num>
  <w:num w:numId="8" w16cid:durableId="14723583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2E"/>
    <w:rsid w:val="000043CB"/>
    <w:rsid w:val="00005214"/>
    <w:rsid w:val="00006312"/>
    <w:rsid w:val="00006B11"/>
    <w:rsid w:val="00015483"/>
    <w:rsid w:val="00016107"/>
    <w:rsid w:val="0001642D"/>
    <w:rsid w:val="00021DBE"/>
    <w:rsid w:val="0003292D"/>
    <w:rsid w:val="00034905"/>
    <w:rsid w:val="00036182"/>
    <w:rsid w:val="000365CA"/>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4562"/>
    <w:rsid w:val="000A5186"/>
    <w:rsid w:val="000B622C"/>
    <w:rsid w:val="000C0994"/>
    <w:rsid w:val="000C3654"/>
    <w:rsid w:val="000C452E"/>
    <w:rsid w:val="000D0FF4"/>
    <w:rsid w:val="000D1137"/>
    <w:rsid w:val="000D7F08"/>
    <w:rsid w:val="000E2939"/>
    <w:rsid w:val="000E4E4E"/>
    <w:rsid w:val="000E639E"/>
    <w:rsid w:val="000F2684"/>
    <w:rsid w:val="000F2688"/>
    <w:rsid w:val="000F5CC3"/>
    <w:rsid w:val="0010052B"/>
    <w:rsid w:val="00114CE0"/>
    <w:rsid w:val="001167DA"/>
    <w:rsid w:val="00127312"/>
    <w:rsid w:val="0013296E"/>
    <w:rsid w:val="001429A6"/>
    <w:rsid w:val="001479B7"/>
    <w:rsid w:val="001501F0"/>
    <w:rsid w:val="0015056D"/>
    <w:rsid w:val="001546E8"/>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38C6"/>
    <w:rsid w:val="0022484E"/>
    <w:rsid w:val="0022677F"/>
    <w:rsid w:val="0023024E"/>
    <w:rsid w:val="00231B57"/>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1C46"/>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537A"/>
    <w:rsid w:val="0035612B"/>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3D"/>
    <w:rsid w:val="003E5074"/>
    <w:rsid w:val="003F14CF"/>
    <w:rsid w:val="003F3342"/>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E3C"/>
    <w:rsid w:val="004C5AFE"/>
    <w:rsid w:val="004C5DF2"/>
    <w:rsid w:val="004C6C23"/>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0912"/>
    <w:rsid w:val="005C290A"/>
    <w:rsid w:val="005C2940"/>
    <w:rsid w:val="005C2BFC"/>
    <w:rsid w:val="005C391C"/>
    <w:rsid w:val="005D1B7D"/>
    <w:rsid w:val="005D4959"/>
    <w:rsid w:val="005D4EDB"/>
    <w:rsid w:val="005D5063"/>
    <w:rsid w:val="005D55C8"/>
    <w:rsid w:val="005E0077"/>
    <w:rsid w:val="005E1325"/>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0D24"/>
    <w:rsid w:val="00634E13"/>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365"/>
    <w:rsid w:val="006A159D"/>
    <w:rsid w:val="006B5CD6"/>
    <w:rsid w:val="006C102C"/>
    <w:rsid w:val="006C3DD8"/>
    <w:rsid w:val="006C3FCC"/>
    <w:rsid w:val="006C656E"/>
    <w:rsid w:val="006C7246"/>
    <w:rsid w:val="006C74CE"/>
    <w:rsid w:val="006D7F91"/>
    <w:rsid w:val="006E453E"/>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5E64"/>
    <w:rsid w:val="00727237"/>
    <w:rsid w:val="00732561"/>
    <w:rsid w:val="007349CA"/>
    <w:rsid w:val="007471D6"/>
    <w:rsid w:val="00753085"/>
    <w:rsid w:val="00764EF4"/>
    <w:rsid w:val="007722D9"/>
    <w:rsid w:val="00773688"/>
    <w:rsid w:val="00776334"/>
    <w:rsid w:val="007774E5"/>
    <w:rsid w:val="007906FF"/>
    <w:rsid w:val="007A08C0"/>
    <w:rsid w:val="007A7BF8"/>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36077"/>
    <w:rsid w:val="00853027"/>
    <w:rsid w:val="0085512F"/>
    <w:rsid w:val="00856DD7"/>
    <w:rsid w:val="0085751D"/>
    <w:rsid w:val="00860D79"/>
    <w:rsid w:val="008612C8"/>
    <w:rsid w:val="008707DA"/>
    <w:rsid w:val="008778EF"/>
    <w:rsid w:val="00882746"/>
    <w:rsid w:val="008857A5"/>
    <w:rsid w:val="00887553"/>
    <w:rsid w:val="00892B06"/>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0000"/>
    <w:rsid w:val="00A1194D"/>
    <w:rsid w:val="00A12502"/>
    <w:rsid w:val="00A13839"/>
    <w:rsid w:val="00A149FD"/>
    <w:rsid w:val="00A20A94"/>
    <w:rsid w:val="00A21C8C"/>
    <w:rsid w:val="00A25992"/>
    <w:rsid w:val="00A31D1D"/>
    <w:rsid w:val="00A331E5"/>
    <w:rsid w:val="00A358FA"/>
    <w:rsid w:val="00A42B6C"/>
    <w:rsid w:val="00A446C6"/>
    <w:rsid w:val="00A64424"/>
    <w:rsid w:val="00A6799C"/>
    <w:rsid w:val="00A67D9A"/>
    <w:rsid w:val="00A67EFD"/>
    <w:rsid w:val="00A67FDF"/>
    <w:rsid w:val="00A724FD"/>
    <w:rsid w:val="00A74ED9"/>
    <w:rsid w:val="00A75FA8"/>
    <w:rsid w:val="00A81E05"/>
    <w:rsid w:val="00A82BCC"/>
    <w:rsid w:val="00A940E8"/>
    <w:rsid w:val="00A97920"/>
    <w:rsid w:val="00AA5EBD"/>
    <w:rsid w:val="00AA6A2F"/>
    <w:rsid w:val="00AA6CAF"/>
    <w:rsid w:val="00AB26D3"/>
    <w:rsid w:val="00AB2DC4"/>
    <w:rsid w:val="00AB6B4E"/>
    <w:rsid w:val="00AC1E3C"/>
    <w:rsid w:val="00AC42C3"/>
    <w:rsid w:val="00AD698B"/>
    <w:rsid w:val="00AE293C"/>
    <w:rsid w:val="00AE3735"/>
    <w:rsid w:val="00AE5D2C"/>
    <w:rsid w:val="00AE5DB5"/>
    <w:rsid w:val="00AE7101"/>
    <w:rsid w:val="00AF1222"/>
    <w:rsid w:val="00AF2480"/>
    <w:rsid w:val="00B02104"/>
    <w:rsid w:val="00B10AE6"/>
    <w:rsid w:val="00B14F71"/>
    <w:rsid w:val="00B16D45"/>
    <w:rsid w:val="00B1764A"/>
    <w:rsid w:val="00B24A3C"/>
    <w:rsid w:val="00B266D2"/>
    <w:rsid w:val="00B34F4E"/>
    <w:rsid w:val="00B41628"/>
    <w:rsid w:val="00B44529"/>
    <w:rsid w:val="00B44F9F"/>
    <w:rsid w:val="00B45C3A"/>
    <w:rsid w:val="00B52740"/>
    <w:rsid w:val="00B537FA"/>
    <w:rsid w:val="00B53D76"/>
    <w:rsid w:val="00B54281"/>
    <w:rsid w:val="00B60B20"/>
    <w:rsid w:val="00B60BC4"/>
    <w:rsid w:val="00B6117A"/>
    <w:rsid w:val="00B6194A"/>
    <w:rsid w:val="00B66DAD"/>
    <w:rsid w:val="00B7075A"/>
    <w:rsid w:val="00B741AA"/>
    <w:rsid w:val="00B74516"/>
    <w:rsid w:val="00B76AEC"/>
    <w:rsid w:val="00B814CB"/>
    <w:rsid w:val="00B878F3"/>
    <w:rsid w:val="00B94819"/>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C03BA9"/>
    <w:rsid w:val="00C0471B"/>
    <w:rsid w:val="00C10B9D"/>
    <w:rsid w:val="00C11089"/>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1BD"/>
    <w:rsid w:val="00C82721"/>
    <w:rsid w:val="00C84B1A"/>
    <w:rsid w:val="00C91044"/>
    <w:rsid w:val="00C927A2"/>
    <w:rsid w:val="00C944C2"/>
    <w:rsid w:val="00C96B9F"/>
    <w:rsid w:val="00CA0FBD"/>
    <w:rsid w:val="00CA359C"/>
    <w:rsid w:val="00CA6011"/>
    <w:rsid w:val="00CB2FA2"/>
    <w:rsid w:val="00CB5777"/>
    <w:rsid w:val="00CD088B"/>
    <w:rsid w:val="00CD3133"/>
    <w:rsid w:val="00CD67ED"/>
    <w:rsid w:val="00CD78AE"/>
    <w:rsid w:val="00CE1949"/>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3C02"/>
    <w:rsid w:val="00D544C7"/>
    <w:rsid w:val="00D544FB"/>
    <w:rsid w:val="00D573A3"/>
    <w:rsid w:val="00D610BD"/>
    <w:rsid w:val="00D628E1"/>
    <w:rsid w:val="00D66353"/>
    <w:rsid w:val="00D737F9"/>
    <w:rsid w:val="00D75169"/>
    <w:rsid w:val="00D77C23"/>
    <w:rsid w:val="00D90521"/>
    <w:rsid w:val="00D9145A"/>
    <w:rsid w:val="00D96AAB"/>
    <w:rsid w:val="00D97AFF"/>
    <w:rsid w:val="00DA4E54"/>
    <w:rsid w:val="00DA77DB"/>
    <w:rsid w:val="00DB6FD2"/>
    <w:rsid w:val="00DC0E70"/>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DF67DC"/>
    <w:rsid w:val="00E059B1"/>
    <w:rsid w:val="00E06429"/>
    <w:rsid w:val="00E11CED"/>
    <w:rsid w:val="00E160EF"/>
    <w:rsid w:val="00E242E5"/>
    <w:rsid w:val="00E246DC"/>
    <w:rsid w:val="00E25E98"/>
    <w:rsid w:val="00E376FD"/>
    <w:rsid w:val="00E43160"/>
    <w:rsid w:val="00E461AE"/>
    <w:rsid w:val="00E513E1"/>
    <w:rsid w:val="00E57678"/>
    <w:rsid w:val="00E66219"/>
    <w:rsid w:val="00E662A3"/>
    <w:rsid w:val="00E7588A"/>
    <w:rsid w:val="00E80AE9"/>
    <w:rsid w:val="00E83374"/>
    <w:rsid w:val="00E836F4"/>
    <w:rsid w:val="00E866A9"/>
    <w:rsid w:val="00E873C4"/>
    <w:rsid w:val="00E87B6A"/>
    <w:rsid w:val="00E87DE2"/>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3D33"/>
    <w:rsid w:val="00F35F74"/>
    <w:rsid w:val="00F36DB6"/>
    <w:rsid w:val="00F36ECD"/>
    <w:rsid w:val="00F36F2D"/>
    <w:rsid w:val="00F4186F"/>
    <w:rsid w:val="00F439F3"/>
    <w:rsid w:val="00F43DC5"/>
    <w:rsid w:val="00F502FD"/>
    <w:rsid w:val="00F517A9"/>
    <w:rsid w:val="00F533E7"/>
    <w:rsid w:val="00F53844"/>
    <w:rsid w:val="00F56AB9"/>
    <w:rsid w:val="00F60676"/>
    <w:rsid w:val="00F62F0E"/>
    <w:rsid w:val="00F63605"/>
    <w:rsid w:val="00F66B23"/>
    <w:rsid w:val="00F67280"/>
    <w:rsid w:val="00F726C0"/>
    <w:rsid w:val="00F7692D"/>
    <w:rsid w:val="00F775E8"/>
    <w:rsid w:val="00F862C7"/>
    <w:rsid w:val="00F863CF"/>
    <w:rsid w:val="00F9249F"/>
    <w:rsid w:val="00F94966"/>
    <w:rsid w:val="00F962A2"/>
    <w:rsid w:val="00FA7EBD"/>
    <w:rsid w:val="00FB019C"/>
    <w:rsid w:val="00FB0CD2"/>
    <w:rsid w:val="00FB36C8"/>
    <w:rsid w:val="00FB5C3A"/>
    <w:rsid w:val="00FC73AE"/>
    <w:rsid w:val="00FD2E2F"/>
    <w:rsid w:val="00FD5A4A"/>
    <w:rsid w:val="00FE0FD8"/>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83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2026-06-23T02:17:00Z</dcterms:created>
  <dcterms:modified xsi:type="dcterms:W3CDTF">2026-06-23T02:17:00Z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2026-06-23T02:17:08Z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cf25213a-3ef2-422f-8c32-74c454cee449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