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CAD7" w14:textId="50436EA5" w:rsidR="00DD7513" w:rsidRPr="00AC7482" w:rsidRDefault="00B73398" w:rsidP="00AC7482">
      <w:pPr>
        <w:pStyle w:val="Title"/>
      </w:pPr>
      <w:r w:rsidRPr="63CCA7D0">
        <w:rPr>
          <w:color w:val="FFFFFF" w:themeColor="background1"/>
        </w:rPr>
        <w:t>Director,</w:t>
      </w:r>
      <w:r w:rsidR="00083A7B" w:rsidRPr="63CCA7D0">
        <w:rPr>
          <w:color w:val="FFFFFF" w:themeColor="background1"/>
        </w:rPr>
        <w:t xml:space="preserve"> </w:t>
      </w:r>
      <w:r w:rsidR="00244F8E">
        <w:t xml:space="preserve">Finance </w:t>
      </w:r>
      <w:r w:rsidR="7C7952B2">
        <w:t>and</w:t>
      </w:r>
      <w:r w:rsidR="00244F8E">
        <w:t xml:space="preserve"> Procurement</w:t>
      </w:r>
      <w:r w:rsidR="006D4492">
        <w:t xml:space="preserve"> </w:t>
      </w:r>
      <w:r w:rsidR="002A500F">
        <w:t>Position Description</w:t>
      </w:r>
    </w:p>
    <w:p w14:paraId="73170554" w14:textId="01333D33" w:rsidR="002A500F" w:rsidRDefault="004D35ED" w:rsidP="004D35ED">
      <w:pPr>
        <w:pStyle w:val="Heading3"/>
      </w:pPr>
      <w:r>
        <w:t>Position details</w:t>
      </w:r>
    </w:p>
    <w:tbl>
      <w:tblPr>
        <w:tblStyle w:val="TableGrid"/>
        <w:tblpPr w:leftFromText="180" w:rightFromText="180" w:vertAnchor="text" w:horzAnchor="margin" w:tblpY="114"/>
        <w:tblW w:w="0" w:type="auto"/>
        <w:tblLook w:val="04A0" w:firstRow="1" w:lastRow="0" w:firstColumn="1" w:lastColumn="0" w:noHBand="0" w:noVBand="1"/>
      </w:tblPr>
      <w:tblGrid>
        <w:gridCol w:w="3539"/>
        <w:gridCol w:w="5471"/>
      </w:tblGrid>
      <w:tr w:rsidR="00844AD0" w14:paraId="4DED1461" w14:textId="77777777" w:rsidTr="63CCA7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shd w:val="clear" w:color="auto" w:fill="auto"/>
          </w:tcPr>
          <w:p w14:paraId="648EBB47" w14:textId="77777777" w:rsidR="00844AD0" w:rsidRPr="0064767B" w:rsidRDefault="00844AD0" w:rsidP="00844AD0">
            <w:bookmarkStart w:id="0" w:name="_Hlk203397477"/>
            <w:r w:rsidRPr="0064767B">
              <w:t>Position Title</w:t>
            </w:r>
          </w:p>
        </w:tc>
        <w:tc>
          <w:tcPr>
            <w:tcW w:w="5471" w:type="dxa"/>
            <w:shd w:val="clear" w:color="auto" w:fill="auto"/>
          </w:tcPr>
          <w:p w14:paraId="52B391CC" w14:textId="0D7DA1DE" w:rsidR="00844AD0" w:rsidRPr="00844AD0" w:rsidRDefault="00B73398" w:rsidP="63CCA7D0">
            <w:pPr>
              <w:jc w:val="left"/>
              <w:cnfStyle w:val="100000000000" w:firstRow="1" w:lastRow="0" w:firstColumn="0" w:lastColumn="0" w:oddVBand="0" w:evenVBand="0" w:oddHBand="0" w:evenHBand="0" w:firstRowFirstColumn="0" w:firstRowLastColumn="0" w:lastRowFirstColumn="0" w:lastRowLastColumn="0"/>
              <w:rPr>
                <w:b w:val="0"/>
              </w:rPr>
            </w:pPr>
            <w:r>
              <w:rPr>
                <w:b w:val="0"/>
              </w:rPr>
              <w:t xml:space="preserve">Director, </w:t>
            </w:r>
            <w:r w:rsidR="00F60089">
              <w:rPr>
                <w:b w:val="0"/>
              </w:rPr>
              <w:t xml:space="preserve">Finance </w:t>
            </w:r>
            <w:r w:rsidR="4D171C4B">
              <w:rPr>
                <w:b w:val="0"/>
              </w:rPr>
              <w:t>and</w:t>
            </w:r>
            <w:r w:rsidR="00F60089">
              <w:rPr>
                <w:b w:val="0"/>
              </w:rPr>
              <w:t xml:space="preserve"> Procurement</w:t>
            </w:r>
          </w:p>
        </w:tc>
      </w:tr>
      <w:bookmarkEnd w:id="0"/>
      <w:tr w:rsidR="00844AD0" w14:paraId="426673FA" w14:textId="77777777" w:rsidTr="63CCA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1B339BD7" w14:textId="77777777" w:rsidR="00844AD0" w:rsidRPr="0064767B" w:rsidRDefault="00844AD0" w:rsidP="00844AD0">
            <w:pPr>
              <w:rPr>
                <w:b/>
                <w:bCs/>
              </w:rPr>
            </w:pPr>
            <w:r w:rsidRPr="0064767B">
              <w:rPr>
                <w:b/>
                <w:bCs/>
              </w:rPr>
              <w:t>Classification</w:t>
            </w:r>
          </w:p>
        </w:tc>
        <w:tc>
          <w:tcPr>
            <w:tcW w:w="5471" w:type="dxa"/>
            <w:shd w:val="clear" w:color="auto" w:fill="auto"/>
          </w:tcPr>
          <w:p w14:paraId="25EE4F57" w14:textId="4185F201" w:rsidR="00844AD0" w:rsidRDefault="004C22D3" w:rsidP="00844AD0">
            <w:pPr>
              <w:cnfStyle w:val="000000100000" w:firstRow="0" w:lastRow="0" w:firstColumn="0" w:lastColumn="0" w:oddVBand="0" w:evenVBand="0" w:oddHBand="1" w:evenHBand="0" w:firstRowFirstColumn="0" w:firstRowLastColumn="0" w:lastRowFirstColumn="0" w:lastRowLastColumn="0"/>
            </w:pPr>
            <w:r>
              <w:t xml:space="preserve">Audit Band </w:t>
            </w:r>
            <w:r w:rsidR="006D4492">
              <w:t>3</w:t>
            </w:r>
          </w:p>
        </w:tc>
      </w:tr>
      <w:tr w:rsidR="00844AD0" w14:paraId="328D1EA1" w14:textId="77777777" w:rsidTr="63CCA7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6F7C2093" w14:textId="77777777" w:rsidR="00844AD0" w:rsidRPr="0064767B" w:rsidRDefault="00844AD0" w:rsidP="00844AD0">
            <w:pPr>
              <w:rPr>
                <w:b/>
                <w:bCs/>
              </w:rPr>
            </w:pPr>
            <w:r w:rsidRPr="0064767B">
              <w:rPr>
                <w:b/>
                <w:bCs/>
              </w:rPr>
              <w:t>Reports to</w:t>
            </w:r>
          </w:p>
        </w:tc>
        <w:tc>
          <w:tcPr>
            <w:tcW w:w="5471" w:type="dxa"/>
            <w:shd w:val="clear" w:color="auto" w:fill="auto"/>
          </w:tcPr>
          <w:p w14:paraId="07FA90AE" w14:textId="60FBFED3" w:rsidR="00844AD0" w:rsidRDefault="003812F2" w:rsidP="00844AD0">
            <w:pPr>
              <w:cnfStyle w:val="000000010000" w:firstRow="0" w:lastRow="0" w:firstColumn="0" w:lastColumn="0" w:oddVBand="0" w:evenVBand="0" w:oddHBand="0" w:evenHBand="1" w:firstRowFirstColumn="0" w:firstRowLastColumn="0" w:lastRowFirstColumn="0" w:lastRowLastColumn="0"/>
            </w:pPr>
            <w:r>
              <w:t xml:space="preserve">Senior Director, </w:t>
            </w:r>
            <w:r w:rsidR="00080E10">
              <w:t>Finance</w:t>
            </w:r>
            <w:r w:rsidR="004E5955">
              <w:t xml:space="preserve">, Risk </w:t>
            </w:r>
            <w:r w:rsidR="00DB1E95">
              <w:t>and</w:t>
            </w:r>
            <w:r w:rsidR="004E5955">
              <w:t xml:space="preserve"> Audit</w:t>
            </w:r>
            <w:r w:rsidR="00080E10">
              <w:t xml:space="preserve"> Quality</w:t>
            </w:r>
            <w:r>
              <w:t xml:space="preserve"> </w:t>
            </w:r>
          </w:p>
        </w:tc>
      </w:tr>
      <w:tr w:rsidR="00844AD0" w14:paraId="5D51629B" w14:textId="77777777" w:rsidTr="63CCA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6ADCE1E6" w14:textId="77777777" w:rsidR="00844AD0" w:rsidRPr="0064767B" w:rsidRDefault="00844AD0" w:rsidP="00844AD0">
            <w:pPr>
              <w:rPr>
                <w:b/>
                <w:bCs/>
              </w:rPr>
            </w:pPr>
            <w:r w:rsidRPr="0064767B">
              <w:rPr>
                <w:b/>
                <w:bCs/>
              </w:rPr>
              <w:t>Salary</w:t>
            </w:r>
          </w:p>
        </w:tc>
        <w:tc>
          <w:tcPr>
            <w:tcW w:w="5471" w:type="dxa"/>
            <w:shd w:val="clear" w:color="auto" w:fill="auto"/>
          </w:tcPr>
          <w:p w14:paraId="36D32579" w14:textId="0A6E4C0B" w:rsidR="00844AD0" w:rsidRPr="00EF7F4D" w:rsidRDefault="00844AD0" w:rsidP="00EF7F4D">
            <w:pPr>
              <w:jc w:val="both"/>
              <w:cnfStyle w:val="000000100000" w:firstRow="0" w:lastRow="0" w:firstColumn="0" w:lastColumn="0" w:oddVBand="0" w:evenVBand="0" w:oddHBand="1" w:evenHBand="0" w:firstRowFirstColumn="0" w:firstRowLastColumn="0" w:lastRowFirstColumn="0" w:lastRowLastColumn="0"/>
            </w:pPr>
            <w:r w:rsidRPr="00EF7F4D">
              <w:t>$</w:t>
            </w:r>
            <w:r w:rsidR="0012160D" w:rsidRPr="00EF7F4D">
              <w:t>1</w:t>
            </w:r>
            <w:r w:rsidR="00D75DC8">
              <w:t>31</w:t>
            </w:r>
            <w:r w:rsidR="0012160D" w:rsidRPr="00EF7F4D">
              <w:t>,</w:t>
            </w:r>
            <w:r w:rsidR="00D75DC8">
              <w:t>358</w:t>
            </w:r>
            <w:r w:rsidRPr="00EF7F4D">
              <w:t xml:space="preserve"> - $</w:t>
            </w:r>
            <w:r w:rsidR="0012160D" w:rsidRPr="00EF7F4D">
              <w:t>1</w:t>
            </w:r>
            <w:r w:rsidR="00D75DC8">
              <w:t>41</w:t>
            </w:r>
            <w:r w:rsidR="0012160D" w:rsidRPr="00EF7F4D">
              <w:t>,</w:t>
            </w:r>
            <w:r w:rsidR="00D75DC8">
              <w:t>147</w:t>
            </w:r>
            <w:r w:rsidRPr="00EF7F4D">
              <w:t xml:space="preserve"> plus superannuation</w:t>
            </w:r>
          </w:p>
        </w:tc>
      </w:tr>
    </w:tbl>
    <w:p w14:paraId="6A89C1F3" w14:textId="37AEE7A0" w:rsidR="00EE368B" w:rsidRDefault="004D35ED" w:rsidP="004D35ED">
      <w:pPr>
        <w:pStyle w:val="Heading3"/>
      </w:pPr>
      <w:r>
        <w:t xml:space="preserve">About the ACT Audit Office </w:t>
      </w:r>
    </w:p>
    <w:p w14:paraId="20725F07" w14:textId="0AFA84E0" w:rsidR="004D35ED" w:rsidRPr="004D35ED" w:rsidRDefault="004D35ED" w:rsidP="00B66E7F">
      <w:bookmarkStart w:id="1" w:name="_Hlk195683016"/>
      <w:r>
        <w:rPr>
          <w:b/>
          <w:bCs/>
        </w:rPr>
        <w:t>Vision:</w:t>
      </w:r>
      <w:bookmarkEnd w:id="1"/>
      <w:r>
        <w:rPr>
          <w:b/>
          <w:bCs/>
        </w:rPr>
        <w:t xml:space="preserve"> </w:t>
      </w:r>
      <w:r>
        <w:rPr>
          <w:b/>
          <w:bCs/>
        </w:rPr>
        <w:tab/>
      </w:r>
      <w:r>
        <w:rPr>
          <w:b/>
          <w:bCs/>
        </w:rPr>
        <w:tab/>
      </w:r>
      <w:r>
        <w:t xml:space="preserve">An </w:t>
      </w:r>
      <w:r w:rsidRPr="004D35ED">
        <w:t>accountable and highly performing ACT Public Sector</w:t>
      </w:r>
    </w:p>
    <w:p w14:paraId="24069C65" w14:textId="6DE1A3B2" w:rsidR="004D35ED" w:rsidRDefault="004D35ED" w:rsidP="00B66E7F">
      <w:pPr>
        <w:ind w:left="1418" w:hanging="1418"/>
        <w:rPr>
          <w:b/>
          <w:bCs/>
        </w:rPr>
      </w:pPr>
      <w:r>
        <w:rPr>
          <w:b/>
          <w:bCs/>
        </w:rPr>
        <w:t>Role:</w:t>
      </w:r>
      <w:r>
        <w:rPr>
          <w:b/>
          <w:bCs/>
        </w:rPr>
        <w:tab/>
      </w:r>
      <w:r w:rsidR="00B66E7F">
        <w:rPr>
          <w:b/>
          <w:bCs/>
        </w:rPr>
        <w:tab/>
      </w:r>
      <w:r w:rsidRPr="004D35ED">
        <w:t>To provide an independent view to the ACT Legislative Assembly and community on the efficiency and effectiveness of the ACT Public Sector.</w:t>
      </w:r>
    </w:p>
    <w:p w14:paraId="15D921E8" w14:textId="6CAB6233" w:rsidR="005A56B9" w:rsidRPr="004D35ED" w:rsidRDefault="004D35ED" w:rsidP="00B66E7F">
      <w:r>
        <w:rPr>
          <w:b/>
          <w:bCs/>
        </w:rPr>
        <w:t>Value:</w:t>
      </w:r>
      <w:r>
        <w:rPr>
          <w:b/>
          <w:bCs/>
        </w:rPr>
        <w:tab/>
      </w:r>
      <w:r>
        <w:rPr>
          <w:b/>
          <w:bCs/>
        </w:rPr>
        <w:tab/>
      </w:r>
      <w:r w:rsidRPr="004D35ED">
        <w:t>Independence, Integrity, Professionalism, Respect, Learning and Innovation</w:t>
      </w:r>
    </w:p>
    <w:p w14:paraId="62212C09" w14:textId="77777777" w:rsidR="00530B8B" w:rsidRPr="00530B8B" w:rsidRDefault="00530B8B" w:rsidP="00530B8B">
      <w:pPr>
        <w:pStyle w:val="Heading3"/>
        <w:rPr>
          <w:rFonts w:ascii="Calibri Light" w:eastAsiaTheme="minorHAnsi" w:hAnsi="Calibri Light" w:cs="Calibri Light"/>
          <w:b w:val="0"/>
          <w:bCs w:val="0"/>
          <w:color w:val="000000" w:themeColor="text1"/>
          <w:sz w:val="22"/>
          <w:szCs w:val="22"/>
        </w:rPr>
      </w:pPr>
      <w:bookmarkStart w:id="2" w:name="_Hlk195682793"/>
      <w:bookmarkStart w:id="3" w:name="_Hlk195682920"/>
      <w:r w:rsidRPr="00530B8B">
        <w:rPr>
          <w:rFonts w:ascii="Calibri Light" w:eastAsiaTheme="minorHAnsi" w:hAnsi="Calibri Light" w:cs="Calibri Light"/>
          <w:b w:val="0"/>
          <w:bCs w:val="0"/>
          <w:color w:val="000000" w:themeColor="text1"/>
          <w:sz w:val="22"/>
          <w:szCs w:val="22"/>
        </w:rPr>
        <w:t xml:space="preserve">The ACT Auditor-General is an independent Officer of the ACT Legislative Assembly. The ACT Audit Office supports the Auditor-General in carrying out the functions of the Office, with a view to promote public accountability in the public administration of the Australian Capital Territory. </w:t>
      </w:r>
    </w:p>
    <w:p w14:paraId="2DA34451" w14:textId="77777777" w:rsidR="00530B8B" w:rsidRPr="00530B8B" w:rsidRDefault="00530B8B" w:rsidP="00530B8B">
      <w:pPr>
        <w:pStyle w:val="Heading3"/>
        <w:rPr>
          <w:rFonts w:ascii="Calibri Light" w:eastAsiaTheme="minorHAnsi" w:hAnsi="Calibri Light" w:cs="Calibri Light"/>
          <w:b w:val="0"/>
          <w:bCs w:val="0"/>
          <w:color w:val="000000" w:themeColor="text1"/>
          <w:sz w:val="22"/>
          <w:szCs w:val="22"/>
        </w:rPr>
      </w:pPr>
      <w:r w:rsidRPr="00530B8B">
        <w:rPr>
          <w:rFonts w:ascii="Calibri Light" w:eastAsiaTheme="minorHAnsi" w:hAnsi="Calibri Light" w:cs="Calibri Light"/>
          <w:b w:val="0"/>
          <w:bCs w:val="0"/>
          <w:color w:val="000000" w:themeColor="text1"/>
          <w:sz w:val="22"/>
          <w:szCs w:val="22"/>
        </w:rPr>
        <w:t xml:space="preserve">The ACT Audit Office conducts independent financial and performance audits on ACT Government agencies and entities that receive ACT Government funding or resources. The results of these audits are reported to the ACT Legislative Assembly and the community. </w:t>
      </w:r>
    </w:p>
    <w:p w14:paraId="77581B5E" w14:textId="77777777" w:rsidR="00530B8B" w:rsidRDefault="00530B8B" w:rsidP="00530B8B">
      <w:pPr>
        <w:pStyle w:val="Heading3"/>
        <w:rPr>
          <w:rFonts w:ascii="Calibri Light" w:eastAsiaTheme="minorHAnsi" w:hAnsi="Calibri Light" w:cs="Calibri Light"/>
          <w:b w:val="0"/>
          <w:bCs w:val="0"/>
          <w:color w:val="000000" w:themeColor="text1"/>
          <w:sz w:val="22"/>
          <w:szCs w:val="22"/>
        </w:rPr>
      </w:pPr>
      <w:bookmarkStart w:id="4" w:name="_Hlk195805205"/>
      <w:r w:rsidRPr="00530B8B">
        <w:rPr>
          <w:rFonts w:ascii="Calibri Light" w:eastAsiaTheme="minorHAnsi" w:hAnsi="Calibri Light" w:cs="Calibri Light"/>
          <w:b w:val="0"/>
          <w:bCs w:val="0"/>
          <w:color w:val="000000" w:themeColor="text1"/>
          <w:sz w:val="22"/>
          <w:szCs w:val="22"/>
        </w:rPr>
        <w:t xml:space="preserve">The ACT Audit Office offers a range of flexible working conditions, including the ability to work from home, to balance staff circumstances with the needs of the Office. </w:t>
      </w:r>
      <w:bookmarkEnd w:id="4"/>
      <w:r w:rsidRPr="00530B8B">
        <w:rPr>
          <w:rFonts w:ascii="Calibri Light" w:eastAsiaTheme="minorHAnsi" w:hAnsi="Calibri Light" w:cs="Calibri Light"/>
          <w:b w:val="0"/>
          <w:bCs w:val="0"/>
          <w:color w:val="000000" w:themeColor="text1"/>
          <w:sz w:val="22"/>
          <w:szCs w:val="22"/>
        </w:rPr>
        <w:t>The Office invests in developing and supporting staff by providing them with learning and development opportunities.</w:t>
      </w:r>
    </w:p>
    <w:p w14:paraId="0208D5CC" w14:textId="456414E6" w:rsidR="0052110F" w:rsidRPr="0036099B" w:rsidRDefault="0052110F" w:rsidP="0052110F">
      <w:pPr>
        <w:pStyle w:val="Heading3"/>
        <w:rPr>
          <w:rFonts w:ascii="Calibri Light" w:eastAsiaTheme="minorHAnsi" w:hAnsi="Calibri Light" w:cs="Calibri Light"/>
          <w:b w:val="0"/>
          <w:bCs w:val="0"/>
          <w:color w:val="000000" w:themeColor="text1"/>
          <w:sz w:val="22"/>
          <w:szCs w:val="22"/>
        </w:rPr>
      </w:pPr>
      <w:bookmarkStart w:id="5" w:name="_Hlk203995582"/>
      <w:r w:rsidRPr="00D128AF">
        <w:rPr>
          <w:rFonts w:ascii="Calibri Light" w:eastAsiaTheme="minorHAnsi" w:hAnsi="Calibri Light" w:cs="Calibri Light"/>
          <w:b w:val="0"/>
          <w:bCs w:val="0"/>
          <w:color w:val="000000" w:themeColor="text1"/>
          <w:sz w:val="22"/>
          <w:szCs w:val="22"/>
        </w:rPr>
        <w:t xml:space="preserve">The Professional Services Branch is one of three main operational areas within the ACT Audit Office. The Branch is responsible for providing a range of corporate support services across </w:t>
      </w:r>
      <w:r w:rsidR="00F66710">
        <w:rPr>
          <w:rFonts w:ascii="Calibri Light" w:eastAsiaTheme="minorHAnsi" w:hAnsi="Calibri Light" w:cs="Calibri Light"/>
          <w:b w:val="0"/>
          <w:bCs w:val="0"/>
          <w:color w:val="000000" w:themeColor="text1"/>
          <w:sz w:val="22"/>
          <w:szCs w:val="22"/>
        </w:rPr>
        <w:t>h</w:t>
      </w:r>
      <w:r w:rsidRPr="00D128AF">
        <w:rPr>
          <w:rFonts w:ascii="Calibri Light" w:eastAsiaTheme="minorHAnsi" w:hAnsi="Calibri Light" w:cs="Calibri Light"/>
          <w:b w:val="0"/>
          <w:bCs w:val="0"/>
          <w:color w:val="000000" w:themeColor="text1"/>
          <w:sz w:val="22"/>
          <w:szCs w:val="22"/>
        </w:rPr>
        <w:t xml:space="preserve">uman </w:t>
      </w:r>
      <w:r w:rsidR="00F66710">
        <w:rPr>
          <w:rFonts w:ascii="Calibri Light" w:eastAsiaTheme="minorHAnsi" w:hAnsi="Calibri Light" w:cs="Calibri Light"/>
          <w:b w:val="0"/>
          <w:bCs w:val="0"/>
          <w:color w:val="000000" w:themeColor="text1"/>
          <w:sz w:val="22"/>
          <w:szCs w:val="22"/>
        </w:rPr>
        <w:t>r</w:t>
      </w:r>
      <w:r w:rsidRPr="00D128AF">
        <w:rPr>
          <w:rFonts w:ascii="Calibri Light" w:eastAsiaTheme="minorHAnsi" w:hAnsi="Calibri Light" w:cs="Calibri Light"/>
          <w:b w:val="0"/>
          <w:bCs w:val="0"/>
          <w:color w:val="000000" w:themeColor="text1"/>
          <w:sz w:val="22"/>
          <w:szCs w:val="22"/>
        </w:rPr>
        <w:t xml:space="preserve">esources, </w:t>
      </w:r>
      <w:r w:rsidR="00F66710">
        <w:rPr>
          <w:rFonts w:ascii="Calibri Light" w:eastAsiaTheme="minorHAnsi" w:hAnsi="Calibri Light" w:cs="Calibri Light"/>
          <w:b w:val="0"/>
          <w:bCs w:val="0"/>
          <w:color w:val="000000" w:themeColor="text1"/>
          <w:sz w:val="22"/>
          <w:szCs w:val="22"/>
        </w:rPr>
        <w:t>o</w:t>
      </w:r>
      <w:r w:rsidRPr="00D128AF">
        <w:rPr>
          <w:rFonts w:ascii="Calibri Light" w:eastAsiaTheme="minorHAnsi" w:hAnsi="Calibri Light" w:cs="Calibri Light"/>
          <w:b w:val="0"/>
          <w:bCs w:val="0"/>
          <w:color w:val="000000" w:themeColor="text1"/>
          <w:sz w:val="22"/>
          <w:szCs w:val="22"/>
        </w:rPr>
        <w:t xml:space="preserve">ffice </w:t>
      </w:r>
      <w:r w:rsidR="00F66710">
        <w:rPr>
          <w:rFonts w:ascii="Calibri Light" w:eastAsiaTheme="minorHAnsi" w:hAnsi="Calibri Light" w:cs="Calibri Light"/>
          <w:b w:val="0"/>
          <w:bCs w:val="0"/>
          <w:color w:val="000000" w:themeColor="text1"/>
          <w:sz w:val="22"/>
          <w:szCs w:val="22"/>
        </w:rPr>
        <w:t>m</w:t>
      </w:r>
      <w:r w:rsidRPr="00D128AF">
        <w:rPr>
          <w:rFonts w:ascii="Calibri Light" w:eastAsiaTheme="minorHAnsi" w:hAnsi="Calibri Light" w:cs="Calibri Light"/>
          <w:b w:val="0"/>
          <w:bCs w:val="0"/>
          <w:color w:val="000000" w:themeColor="text1"/>
          <w:sz w:val="22"/>
          <w:szCs w:val="22"/>
        </w:rPr>
        <w:t xml:space="preserve">anagement and </w:t>
      </w:r>
      <w:r w:rsidR="00F66710">
        <w:rPr>
          <w:rFonts w:ascii="Calibri Light" w:eastAsiaTheme="minorHAnsi" w:hAnsi="Calibri Light" w:cs="Calibri Light"/>
          <w:b w:val="0"/>
          <w:bCs w:val="0"/>
          <w:color w:val="000000" w:themeColor="text1"/>
          <w:sz w:val="22"/>
          <w:szCs w:val="22"/>
        </w:rPr>
        <w:t>a</w:t>
      </w:r>
      <w:r w:rsidRPr="00D128AF">
        <w:rPr>
          <w:rFonts w:ascii="Calibri Light" w:eastAsiaTheme="minorHAnsi" w:hAnsi="Calibri Light" w:cs="Calibri Light"/>
          <w:b w:val="0"/>
          <w:bCs w:val="0"/>
          <w:color w:val="000000" w:themeColor="text1"/>
          <w:sz w:val="22"/>
          <w:szCs w:val="22"/>
        </w:rPr>
        <w:t xml:space="preserve">dministration, </w:t>
      </w:r>
      <w:r w:rsidR="00F66710">
        <w:rPr>
          <w:rFonts w:ascii="Calibri Light" w:eastAsiaTheme="minorHAnsi" w:hAnsi="Calibri Light" w:cs="Calibri Light"/>
          <w:b w:val="0"/>
          <w:bCs w:val="0"/>
          <w:color w:val="000000" w:themeColor="text1"/>
          <w:sz w:val="22"/>
          <w:szCs w:val="22"/>
        </w:rPr>
        <w:t>q</w:t>
      </w:r>
      <w:r w:rsidRPr="00D128AF">
        <w:rPr>
          <w:rFonts w:ascii="Calibri Light" w:eastAsiaTheme="minorHAnsi" w:hAnsi="Calibri Light" w:cs="Calibri Light"/>
          <w:b w:val="0"/>
          <w:bCs w:val="0"/>
          <w:color w:val="000000" w:themeColor="text1"/>
          <w:sz w:val="22"/>
          <w:szCs w:val="22"/>
        </w:rPr>
        <w:t xml:space="preserve">uality </w:t>
      </w:r>
      <w:r w:rsidR="00F66710">
        <w:rPr>
          <w:rFonts w:ascii="Calibri Light" w:eastAsiaTheme="minorHAnsi" w:hAnsi="Calibri Light" w:cs="Calibri Light"/>
          <w:b w:val="0"/>
          <w:bCs w:val="0"/>
          <w:color w:val="000000" w:themeColor="text1"/>
          <w:sz w:val="22"/>
          <w:szCs w:val="22"/>
        </w:rPr>
        <w:t>a</w:t>
      </w:r>
      <w:r w:rsidRPr="00D128AF">
        <w:rPr>
          <w:rFonts w:ascii="Calibri Light" w:eastAsiaTheme="minorHAnsi" w:hAnsi="Calibri Light" w:cs="Calibri Light"/>
          <w:b w:val="0"/>
          <w:bCs w:val="0"/>
          <w:color w:val="000000" w:themeColor="text1"/>
          <w:sz w:val="22"/>
          <w:szCs w:val="22"/>
        </w:rPr>
        <w:t xml:space="preserve">ssurance and </w:t>
      </w:r>
      <w:r w:rsidR="00F66710">
        <w:rPr>
          <w:rFonts w:ascii="Calibri Light" w:eastAsiaTheme="minorHAnsi" w:hAnsi="Calibri Light" w:cs="Calibri Light"/>
          <w:b w:val="0"/>
          <w:bCs w:val="0"/>
          <w:color w:val="000000" w:themeColor="text1"/>
          <w:sz w:val="22"/>
          <w:szCs w:val="22"/>
        </w:rPr>
        <w:t>t</w:t>
      </w:r>
      <w:r w:rsidRPr="00D128AF">
        <w:rPr>
          <w:rFonts w:ascii="Calibri Light" w:eastAsiaTheme="minorHAnsi" w:hAnsi="Calibri Light" w:cs="Calibri Light"/>
          <w:b w:val="0"/>
          <w:bCs w:val="0"/>
          <w:color w:val="000000" w:themeColor="text1"/>
          <w:sz w:val="22"/>
          <w:szCs w:val="22"/>
        </w:rPr>
        <w:t xml:space="preserve">echnical </w:t>
      </w:r>
      <w:r w:rsidR="00F66710">
        <w:rPr>
          <w:rFonts w:ascii="Calibri Light" w:eastAsiaTheme="minorHAnsi" w:hAnsi="Calibri Light" w:cs="Calibri Light"/>
          <w:b w:val="0"/>
          <w:bCs w:val="0"/>
          <w:color w:val="000000" w:themeColor="text1"/>
          <w:sz w:val="22"/>
          <w:szCs w:val="22"/>
        </w:rPr>
        <w:t>a</w:t>
      </w:r>
      <w:r w:rsidRPr="00D128AF">
        <w:rPr>
          <w:rFonts w:ascii="Calibri Light" w:eastAsiaTheme="minorHAnsi" w:hAnsi="Calibri Light" w:cs="Calibri Light"/>
          <w:b w:val="0"/>
          <w:bCs w:val="0"/>
          <w:color w:val="000000" w:themeColor="text1"/>
          <w:sz w:val="22"/>
          <w:szCs w:val="22"/>
        </w:rPr>
        <w:t xml:space="preserve">dvice, </w:t>
      </w:r>
      <w:r w:rsidR="00F66710">
        <w:rPr>
          <w:rFonts w:ascii="Calibri Light" w:eastAsiaTheme="minorHAnsi" w:hAnsi="Calibri Light" w:cs="Calibri Light"/>
          <w:b w:val="0"/>
          <w:bCs w:val="0"/>
          <w:color w:val="000000" w:themeColor="text1"/>
          <w:sz w:val="22"/>
          <w:szCs w:val="22"/>
        </w:rPr>
        <w:t>g</w:t>
      </w:r>
      <w:r w:rsidRPr="00D128AF">
        <w:rPr>
          <w:rFonts w:ascii="Calibri Light" w:eastAsiaTheme="minorHAnsi" w:hAnsi="Calibri Light" w:cs="Calibri Light"/>
          <w:b w:val="0"/>
          <w:bCs w:val="0"/>
          <w:color w:val="000000" w:themeColor="text1"/>
          <w:sz w:val="22"/>
          <w:szCs w:val="22"/>
        </w:rPr>
        <w:t xml:space="preserve">overnance, </w:t>
      </w:r>
      <w:r w:rsidR="00F66710">
        <w:rPr>
          <w:rFonts w:ascii="Calibri Light" w:eastAsiaTheme="minorHAnsi" w:hAnsi="Calibri Light" w:cs="Calibri Light"/>
          <w:b w:val="0"/>
          <w:bCs w:val="0"/>
          <w:color w:val="000000" w:themeColor="text1"/>
          <w:sz w:val="22"/>
          <w:szCs w:val="22"/>
        </w:rPr>
        <w:t>i</w:t>
      </w:r>
      <w:r w:rsidRPr="00D128AF">
        <w:rPr>
          <w:rFonts w:ascii="Calibri Light" w:eastAsiaTheme="minorHAnsi" w:hAnsi="Calibri Light" w:cs="Calibri Light"/>
          <w:b w:val="0"/>
          <w:bCs w:val="0"/>
          <w:color w:val="000000" w:themeColor="text1"/>
          <w:sz w:val="22"/>
          <w:szCs w:val="22"/>
        </w:rPr>
        <w:t xml:space="preserve">nternal </w:t>
      </w:r>
      <w:r w:rsidR="00F66710">
        <w:rPr>
          <w:rFonts w:ascii="Calibri Light" w:eastAsiaTheme="minorHAnsi" w:hAnsi="Calibri Light" w:cs="Calibri Light"/>
          <w:b w:val="0"/>
          <w:bCs w:val="0"/>
          <w:color w:val="000000" w:themeColor="text1"/>
          <w:sz w:val="22"/>
          <w:szCs w:val="22"/>
        </w:rPr>
        <w:t>a</w:t>
      </w:r>
      <w:r w:rsidRPr="00D128AF">
        <w:rPr>
          <w:rFonts w:ascii="Calibri Light" w:eastAsiaTheme="minorHAnsi" w:hAnsi="Calibri Light" w:cs="Calibri Light"/>
          <w:b w:val="0"/>
          <w:bCs w:val="0"/>
          <w:color w:val="000000" w:themeColor="text1"/>
          <w:sz w:val="22"/>
          <w:szCs w:val="22"/>
        </w:rPr>
        <w:t xml:space="preserve">udit, </w:t>
      </w:r>
      <w:r w:rsidR="00F66710">
        <w:rPr>
          <w:rFonts w:ascii="Calibri Light" w:eastAsiaTheme="minorHAnsi" w:hAnsi="Calibri Light" w:cs="Calibri Light"/>
          <w:b w:val="0"/>
          <w:bCs w:val="0"/>
          <w:color w:val="000000" w:themeColor="text1"/>
          <w:sz w:val="22"/>
          <w:szCs w:val="22"/>
        </w:rPr>
        <w:t>r</w:t>
      </w:r>
      <w:r w:rsidRPr="00D128AF">
        <w:rPr>
          <w:rFonts w:ascii="Calibri Light" w:eastAsiaTheme="minorHAnsi" w:hAnsi="Calibri Light" w:cs="Calibri Light"/>
          <w:b w:val="0"/>
          <w:bCs w:val="0"/>
          <w:color w:val="000000" w:themeColor="text1"/>
          <w:sz w:val="22"/>
          <w:szCs w:val="22"/>
        </w:rPr>
        <w:t xml:space="preserve">isk, ICT and </w:t>
      </w:r>
      <w:r w:rsidR="00F66710">
        <w:rPr>
          <w:rFonts w:ascii="Calibri Light" w:eastAsiaTheme="minorHAnsi" w:hAnsi="Calibri Light" w:cs="Calibri Light"/>
          <w:b w:val="0"/>
          <w:bCs w:val="0"/>
          <w:color w:val="000000" w:themeColor="text1"/>
          <w:sz w:val="22"/>
          <w:szCs w:val="22"/>
        </w:rPr>
        <w:t>c</w:t>
      </w:r>
      <w:r w:rsidRPr="00D128AF">
        <w:rPr>
          <w:rFonts w:ascii="Calibri Light" w:eastAsiaTheme="minorHAnsi" w:hAnsi="Calibri Light" w:cs="Calibri Light"/>
          <w:b w:val="0"/>
          <w:bCs w:val="0"/>
          <w:color w:val="000000" w:themeColor="text1"/>
          <w:sz w:val="22"/>
          <w:szCs w:val="22"/>
        </w:rPr>
        <w:t>ommunications. The Branch</w:t>
      </w:r>
      <w:r w:rsidRPr="00D128AF">
        <w:rPr>
          <w:rFonts w:ascii="Calibri Light" w:eastAsiaTheme="minorHAnsi" w:hAnsi="Calibri Light" w:cs="Calibri Light"/>
          <w:color w:val="000000" w:themeColor="text1"/>
          <w:sz w:val="22"/>
          <w:szCs w:val="22"/>
        </w:rPr>
        <w:t xml:space="preserve"> </w:t>
      </w:r>
      <w:r w:rsidRPr="00D128AF">
        <w:rPr>
          <w:rFonts w:ascii="Calibri Light" w:eastAsiaTheme="minorHAnsi" w:hAnsi="Calibri Light" w:cs="Calibri Light"/>
          <w:b w:val="0"/>
          <w:bCs w:val="0"/>
          <w:color w:val="000000" w:themeColor="text1"/>
          <w:sz w:val="22"/>
          <w:szCs w:val="22"/>
        </w:rPr>
        <w:t>plays a critical role in supporting the overall operations of the Audit Office and works closely with the Financial Audit and Performance Audit areas to support the overall effectiveness, governance and quality of the Audit Office’s work.</w:t>
      </w:r>
    </w:p>
    <w:bookmarkEnd w:id="5"/>
    <w:p w14:paraId="7CC1D6B2" w14:textId="05E32D93" w:rsidR="004D35ED" w:rsidRDefault="004D35ED" w:rsidP="00530B8B">
      <w:pPr>
        <w:pStyle w:val="Heading3"/>
      </w:pPr>
      <w:r>
        <w:t xml:space="preserve">About the role </w:t>
      </w:r>
    </w:p>
    <w:bookmarkEnd w:id="2"/>
    <w:bookmarkEnd w:id="3"/>
    <w:p w14:paraId="6A87CD9E" w14:textId="34058FF0" w:rsidR="00530B8B" w:rsidRPr="005601BA" w:rsidRDefault="00530B8B" w:rsidP="00530B8B">
      <w:r>
        <w:t xml:space="preserve">The </w:t>
      </w:r>
      <w:r w:rsidR="00A76B5E" w:rsidRPr="63CCA7D0">
        <w:rPr>
          <w:b/>
          <w:bCs/>
        </w:rPr>
        <w:t xml:space="preserve">Director, </w:t>
      </w:r>
      <w:r w:rsidR="00153F6C" w:rsidRPr="63CCA7D0">
        <w:rPr>
          <w:b/>
          <w:bCs/>
        </w:rPr>
        <w:t xml:space="preserve">Finance </w:t>
      </w:r>
      <w:r w:rsidR="00F66710">
        <w:rPr>
          <w:b/>
          <w:bCs/>
        </w:rPr>
        <w:t>and</w:t>
      </w:r>
      <w:r w:rsidR="00153F6C" w:rsidRPr="63CCA7D0">
        <w:rPr>
          <w:b/>
          <w:bCs/>
        </w:rPr>
        <w:t xml:space="preserve"> Procurement</w:t>
      </w:r>
      <w:r w:rsidR="00A76B5E" w:rsidRPr="63CCA7D0">
        <w:rPr>
          <w:b/>
          <w:bCs/>
        </w:rPr>
        <w:t xml:space="preserve"> </w:t>
      </w:r>
      <w:r>
        <w:t xml:space="preserve">is a key member of the ACT Audit Office’s Professional Services Branch, responsible </w:t>
      </w:r>
      <w:r w:rsidR="00810CDF">
        <w:t>for</w:t>
      </w:r>
      <w:r w:rsidR="00743937">
        <w:t xml:space="preserve"> </w:t>
      </w:r>
      <w:r w:rsidR="007C64A9">
        <w:t>managing</w:t>
      </w:r>
      <w:r w:rsidR="00743937">
        <w:t xml:space="preserve"> </w:t>
      </w:r>
      <w:r w:rsidR="00B10EF9">
        <w:t>financial operations and procurement activities</w:t>
      </w:r>
      <w:r w:rsidR="009C787E">
        <w:t xml:space="preserve">. The role </w:t>
      </w:r>
      <w:r w:rsidR="00CA5464">
        <w:t xml:space="preserve">ensures the </w:t>
      </w:r>
      <w:r w:rsidR="008641EF">
        <w:t xml:space="preserve">integrity, accuracy and timeliness of </w:t>
      </w:r>
      <w:r w:rsidR="00CA5464">
        <w:t xml:space="preserve">financial </w:t>
      </w:r>
      <w:r w:rsidR="008641EF">
        <w:t xml:space="preserve">reporting, budgeting and </w:t>
      </w:r>
      <w:r w:rsidR="004F34A7">
        <w:t>p</w:t>
      </w:r>
      <w:r w:rsidR="008641EF">
        <w:t>rocurement</w:t>
      </w:r>
      <w:r w:rsidR="00CA5464">
        <w:t xml:space="preserve"> to </w:t>
      </w:r>
      <w:r w:rsidR="005A02F0">
        <w:t>support effective decision-making and resource allocation</w:t>
      </w:r>
      <w:r w:rsidR="008641EF">
        <w:t xml:space="preserve">. </w:t>
      </w:r>
      <w:r w:rsidR="004F34A7">
        <w:t xml:space="preserve">The </w:t>
      </w:r>
      <w:r w:rsidR="00496C9C">
        <w:t>Director</w:t>
      </w:r>
      <w:r w:rsidR="004F34A7">
        <w:t xml:space="preserve"> </w:t>
      </w:r>
      <w:r w:rsidR="00496C9C">
        <w:t>manages</w:t>
      </w:r>
      <w:r w:rsidR="00B23610">
        <w:t xml:space="preserve"> a Finance Officer and plays a key role in </w:t>
      </w:r>
      <w:r w:rsidR="00E62EA3">
        <w:t xml:space="preserve">strengthening financial systems, processes and controls to support </w:t>
      </w:r>
      <w:r w:rsidR="00A176E2">
        <w:t xml:space="preserve">effective </w:t>
      </w:r>
      <w:r w:rsidR="00E62EA3">
        <w:t>business planning</w:t>
      </w:r>
      <w:r w:rsidR="004E420A">
        <w:t xml:space="preserve">, </w:t>
      </w:r>
      <w:r w:rsidR="00E62EA3">
        <w:t>financial accountability</w:t>
      </w:r>
      <w:r w:rsidR="004E420A">
        <w:t xml:space="preserve"> and compliance</w:t>
      </w:r>
      <w:r w:rsidR="00E62EA3">
        <w:t xml:space="preserve">. </w:t>
      </w:r>
      <w:bookmarkStart w:id="6" w:name="_Hlk204076300"/>
      <w:r w:rsidR="0052110F">
        <w:t xml:space="preserve">Additionally, the role involves building and maintaining strong relationships with the Legislative Assembly and its Committees, and </w:t>
      </w:r>
      <w:r w:rsidR="00265ED5">
        <w:t xml:space="preserve">ACT </w:t>
      </w:r>
      <w:r w:rsidR="00265ED5">
        <w:lastRenderedPageBreak/>
        <w:t>Government Directorates</w:t>
      </w:r>
      <w:r w:rsidR="0052110F">
        <w:t>, representing the Audit Office professionally to promote transparency and organisational credibility.</w:t>
      </w:r>
    </w:p>
    <w:bookmarkEnd w:id="6"/>
    <w:p w14:paraId="4E327F9C" w14:textId="77777777" w:rsidR="00F22856" w:rsidRDefault="00F22856" w:rsidP="00530B8B"/>
    <w:p w14:paraId="46F80F28" w14:textId="3A6E6089" w:rsidR="006B1EE3" w:rsidRPr="003F7914" w:rsidRDefault="009F51CE" w:rsidP="006B1EE3">
      <w:pPr>
        <w:rPr>
          <w:b/>
          <w:bCs/>
        </w:rPr>
      </w:pPr>
      <w:r>
        <w:t>Key responsibilities of the</w:t>
      </w:r>
      <w:r w:rsidRPr="63CCA7D0">
        <w:rPr>
          <w:b/>
          <w:bCs/>
        </w:rPr>
        <w:t xml:space="preserve"> </w:t>
      </w:r>
      <w:r w:rsidR="00A76B5E" w:rsidRPr="63CCA7D0">
        <w:rPr>
          <w:b/>
          <w:bCs/>
        </w:rPr>
        <w:t xml:space="preserve">Director, </w:t>
      </w:r>
      <w:r w:rsidR="005D477C" w:rsidRPr="63CCA7D0">
        <w:rPr>
          <w:b/>
          <w:bCs/>
        </w:rPr>
        <w:t xml:space="preserve">Finance </w:t>
      </w:r>
      <w:r w:rsidR="00F66710">
        <w:rPr>
          <w:b/>
          <w:bCs/>
        </w:rPr>
        <w:t>and</w:t>
      </w:r>
      <w:r w:rsidR="005D477C" w:rsidRPr="63CCA7D0">
        <w:rPr>
          <w:b/>
          <w:bCs/>
        </w:rPr>
        <w:t xml:space="preserve"> Procurement</w:t>
      </w:r>
      <w:r w:rsidR="006B1EE3" w:rsidRPr="63CCA7D0">
        <w:rPr>
          <w:b/>
          <w:bCs/>
        </w:rPr>
        <w:t>:</w:t>
      </w:r>
    </w:p>
    <w:p w14:paraId="13FB3DC6" w14:textId="377A389E" w:rsidR="00372E47" w:rsidRDefault="00372E47" w:rsidP="00E72371">
      <w:pPr>
        <w:pStyle w:val="ListParagraph"/>
      </w:pPr>
      <w:r>
        <w:t>Lead the preparation and presentation of accurate</w:t>
      </w:r>
      <w:r w:rsidR="00137156">
        <w:t xml:space="preserve"> and </w:t>
      </w:r>
      <w:r w:rsidR="009F6100">
        <w:t xml:space="preserve">timely </w:t>
      </w:r>
      <w:r>
        <w:t xml:space="preserve">financial reports, ensuring compliance with </w:t>
      </w:r>
      <w:r w:rsidR="00313037">
        <w:t xml:space="preserve">relevant legislation, financial reporting requirements, regulations and </w:t>
      </w:r>
      <w:r>
        <w:t>accounting standards</w:t>
      </w:r>
      <w:r w:rsidR="00B1240E">
        <w:t>.</w:t>
      </w:r>
    </w:p>
    <w:p w14:paraId="5E5B8223" w14:textId="544E86BA" w:rsidR="001B7910" w:rsidRDefault="001B7910" w:rsidP="00BC2861">
      <w:pPr>
        <w:pStyle w:val="ListParagraph"/>
      </w:pPr>
      <w:r w:rsidRPr="00D128AF">
        <w:t>Perform comprehensive financial analyses and budgeting to inform executive decision-making, monitor financial performance, and proactively identify risks, opportunities and emerging cost pressures.</w:t>
      </w:r>
    </w:p>
    <w:p w14:paraId="15AC7CC6" w14:textId="77980A43" w:rsidR="00F013E0" w:rsidRDefault="00F013E0" w:rsidP="00BC2861">
      <w:pPr>
        <w:pStyle w:val="ListParagraph"/>
      </w:pPr>
      <w:r>
        <w:t xml:space="preserve">Coordination of the Office budget, including liaising with Executives and Senior managers for input. </w:t>
      </w:r>
    </w:p>
    <w:p w14:paraId="222B37A0" w14:textId="75A4997A" w:rsidR="00DB6176" w:rsidRDefault="002A3498" w:rsidP="00BC2861">
      <w:pPr>
        <w:pStyle w:val="ListParagraph"/>
      </w:pPr>
      <w:r>
        <w:t xml:space="preserve">Support the preparation of the </w:t>
      </w:r>
      <w:r w:rsidR="00F013E0">
        <w:t>Office’s Statement of Performance</w:t>
      </w:r>
      <w:r>
        <w:t xml:space="preserve"> and </w:t>
      </w:r>
      <w:r w:rsidR="00444419">
        <w:t xml:space="preserve">coordinate </w:t>
      </w:r>
      <w:r>
        <w:t xml:space="preserve">other whole-of-government financial reporting </w:t>
      </w:r>
      <w:r w:rsidR="00B55897">
        <w:t>requirements</w:t>
      </w:r>
      <w:r>
        <w:t>.</w:t>
      </w:r>
    </w:p>
    <w:p w14:paraId="1A767A66" w14:textId="6F486834" w:rsidR="00730563" w:rsidRDefault="00B55897" w:rsidP="00E72371">
      <w:pPr>
        <w:pStyle w:val="ListParagraph"/>
      </w:pPr>
      <w:r>
        <w:t xml:space="preserve">Monitor and report on the Office’s </w:t>
      </w:r>
      <w:r w:rsidR="00730563">
        <w:t xml:space="preserve">financial results, providing </w:t>
      </w:r>
      <w:r w:rsidR="00E57B64">
        <w:t>analyses,</w:t>
      </w:r>
      <w:r w:rsidR="00730563">
        <w:t xml:space="preserve"> insights and recommendations to the Senior Director</w:t>
      </w:r>
      <w:r w:rsidR="427875C8">
        <w:t xml:space="preserve"> and </w:t>
      </w:r>
      <w:r w:rsidR="00730563">
        <w:t>the Executive</w:t>
      </w:r>
      <w:r w:rsidR="00E57B64">
        <w:t xml:space="preserve"> to inform decision-making</w:t>
      </w:r>
      <w:r w:rsidR="00B62840">
        <w:t>.</w:t>
      </w:r>
      <w:r w:rsidR="00730563">
        <w:t xml:space="preserve"> </w:t>
      </w:r>
    </w:p>
    <w:p w14:paraId="44885778" w14:textId="318704D4" w:rsidR="00930683" w:rsidRDefault="00327933" w:rsidP="00E72371">
      <w:pPr>
        <w:pStyle w:val="ListParagraph"/>
      </w:pPr>
      <w:r>
        <w:t>Manage the Office’s insurance arrangements</w:t>
      </w:r>
      <w:r w:rsidR="006818E6">
        <w:t>.</w:t>
      </w:r>
    </w:p>
    <w:p w14:paraId="6E27BE2A" w14:textId="61189894" w:rsidR="009C7AC6" w:rsidRDefault="00C26AF8" w:rsidP="00B75769">
      <w:pPr>
        <w:pStyle w:val="ListParagraph"/>
        <w:rPr>
          <w:lang w:eastAsia="en-AU"/>
        </w:rPr>
      </w:pPr>
      <w:r>
        <w:t>Conduct</w:t>
      </w:r>
      <w:r w:rsidR="00F039CB">
        <w:t xml:space="preserve"> regular reviews to ensure ongoing</w:t>
      </w:r>
      <w:r w:rsidR="002A3498">
        <w:t xml:space="preserve"> compliance with taxation </w:t>
      </w:r>
      <w:r w:rsidR="00DF6988">
        <w:t xml:space="preserve">obligations </w:t>
      </w:r>
      <w:r w:rsidR="007E1553">
        <w:t>and legislative requirements</w:t>
      </w:r>
      <w:r>
        <w:t>, including BAS, FBT, and other tax-related reporting.</w:t>
      </w:r>
    </w:p>
    <w:p w14:paraId="3CE799E8" w14:textId="77777777" w:rsidR="00C26AF8" w:rsidRPr="007E1553" w:rsidRDefault="00C26AF8" w:rsidP="00C26AF8">
      <w:pPr>
        <w:pStyle w:val="ListParagraph"/>
      </w:pPr>
      <w:r w:rsidRPr="007E1553">
        <w:t>Develop and implement internal controls, month-end procedures, and reconciliations to ensure data integrity, accuracy, and audit readiness.</w:t>
      </w:r>
    </w:p>
    <w:p w14:paraId="2BC58B3B" w14:textId="0C2B87D6" w:rsidR="00A45C4B" w:rsidRDefault="008901EE" w:rsidP="00A45C4B">
      <w:pPr>
        <w:pStyle w:val="ListParagraph"/>
      </w:pPr>
      <w:r>
        <w:t>Maintain and enhance procurement processes by providing advice, guidance, and education to internal teams to ensure procurement practices meet government standards.</w:t>
      </w:r>
    </w:p>
    <w:p w14:paraId="1C2F25E4" w14:textId="27B78263" w:rsidR="0028600D" w:rsidRDefault="0028600D" w:rsidP="0028600D">
      <w:pPr>
        <w:pStyle w:val="ListParagraph"/>
        <w:rPr>
          <w:lang w:eastAsia="en-AU"/>
        </w:rPr>
      </w:pPr>
      <w:r w:rsidRPr="63CCA7D0">
        <w:rPr>
          <w:lang w:eastAsia="en-AU"/>
        </w:rPr>
        <w:t>Support the integration of financ</w:t>
      </w:r>
      <w:r w:rsidR="0B0FF50E" w:rsidRPr="63CCA7D0">
        <w:rPr>
          <w:lang w:eastAsia="en-AU"/>
        </w:rPr>
        <w:t xml:space="preserve">e </w:t>
      </w:r>
      <w:r w:rsidRPr="63CCA7D0">
        <w:rPr>
          <w:lang w:eastAsia="en-AU"/>
        </w:rPr>
        <w:t xml:space="preserve">systems and participate in system </w:t>
      </w:r>
      <w:r w:rsidR="52FB92AA" w:rsidRPr="63CCA7D0">
        <w:rPr>
          <w:lang w:eastAsia="en-AU"/>
        </w:rPr>
        <w:t xml:space="preserve">implementations or </w:t>
      </w:r>
      <w:r w:rsidRPr="63CCA7D0">
        <w:rPr>
          <w:lang w:eastAsia="en-AU"/>
        </w:rPr>
        <w:t>upgrades to improve reporting capabilities and operational efficiency.</w:t>
      </w:r>
    </w:p>
    <w:p w14:paraId="2453FF9B" w14:textId="320B2B21" w:rsidR="00535F43" w:rsidRDefault="00535F43" w:rsidP="0028600D">
      <w:pPr>
        <w:pStyle w:val="ListParagraph"/>
        <w:rPr>
          <w:lang w:eastAsia="en-AU"/>
        </w:rPr>
      </w:pPr>
      <w:r w:rsidRPr="00535F43">
        <w:rPr>
          <w:lang w:eastAsia="en-AU"/>
        </w:rPr>
        <w:t xml:space="preserve">Maintain and promote policies and procedures relevant </w:t>
      </w:r>
      <w:r w:rsidR="00B05932" w:rsidRPr="00535F43">
        <w:rPr>
          <w:lang w:eastAsia="en-AU"/>
        </w:rPr>
        <w:t>to area</w:t>
      </w:r>
      <w:r w:rsidRPr="00535F43">
        <w:rPr>
          <w:lang w:eastAsia="en-AU"/>
        </w:rPr>
        <w:t xml:space="preserve"> of responsibility by ensuring documentation is current, accessible, and effectively communicated to staff.</w:t>
      </w:r>
    </w:p>
    <w:p w14:paraId="5C9983AF" w14:textId="68FD2883" w:rsidR="004D79FB" w:rsidRDefault="00000010" w:rsidP="004D79FB">
      <w:pPr>
        <w:pStyle w:val="ListParagraph"/>
        <w:rPr>
          <w:lang w:eastAsia="en-AU"/>
        </w:rPr>
      </w:pPr>
      <w:r>
        <w:t>Manage</w:t>
      </w:r>
      <w:r w:rsidRPr="63CCA7D0">
        <w:rPr>
          <w:lang w:eastAsia="en-AU"/>
        </w:rPr>
        <w:t xml:space="preserve"> </w:t>
      </w:r>
      <w:r w:rsidR="00C26AF8" w:rsidRPr="63CCA7D0">
        <w:rPr>
          <w:lang w:eastAsia="en-AU"/>
        </w:rPr>
        <w:t xml:space="preserve">and </w:t>
      </w:r>
      <w:r w:rsidR="00C246F8" w:rsidRPr="63CCA7D0">
        <w:rPr>
          <w:lang w:eastAsia="en-AU"/>
        </w:rPr>
        <w:t xml:space="preserve">coordinate </w:t>
      </w:r>
      <w:r w:rsidR="00C26AF8" w:rsidRPr="63CCA7D0">
        <w:rPr>
          <w:lang w:eastAsia="en-AU"/>
        </w:rPr>
        <w:t xml:space="preserve">the Finance Officer, providing guidance, coaching, and performance feedback to </w:t>
      </w:r>
      <w:r w:rsidR="00C246F8" w:rsidRPr="63CCA7D0">
        <w:rPr>
          <w:lang w:eastAsia="en-AU"/>
        </w:rPr>
        <w:t xml:space="preserve">promote </w:t>
      </w:r>
      <w:r w:rsidR="00C26AF8" w:rsidRPr="63CCA7D0">
        <w:rPr>
          <w:lang w:eastAsia="en-AU"/>
        </w:rPr>
        <w:t>professional development</w:t>
      </w:r>
      <w:r w:rsidR="00C246F8" w:rsidRPr="63CCA7D0">
        <w:rPr>
          <w:lang w:eastAsia="en-AU"/>
        </w:rPr>
        <w:t xml:space="preserve"> and ensure effective delivery of financ</w:t>
      </w:r>
      <w:r w:rsidR="22BA3716" w:rsidRPr="63CCA7D0">
        <w:rPr>
          <w:lang w:eastAsia="en-AU"/>
        </w:rPr>
        <w:t>e</w:t>
      </w:r>
      <w:r w:rsidR="00C246F8" w:rsidRPr="63CCA7D0">
        <w:rPr>
          <w:lang w:eastAsia="en-AU"/>
        </w:rPr>
        <w:t xml:space="preserve"> activities</w:t>
      </w:r>
      <w:r w:rsidR="00C26AF8" w:rsidRPr="63CCA7D0">
        <w:rPr>
          <w:lang w:eastAsia="en-AU"/>
        </w:rPr>
        <w:t>.</w:t>
      </w:r>
    </w:p>
    <w:p w14:paraId="5945DBB3" w14:textId="549832DC" w:rsidR="008A2D25" w:rsidRPr="00E47B7F" w:rsidRDefault="0064767B" w:rsidP="00E47B7F">
      <w:pPr>
        <w:pStyle w:val="Heading3"/>
      </w:pPr>
      <w:r>
        <w:t>Key selection criteria</w:t>
      </w:r>
      <w:r w:rsidRPr="0064767B">
        <w:t xml:space="preserve"> </w:t>
      </w:r>
    </w:p>
    <w:p w14:paraId="0E773C48" w14:textId="0C858DDC" w:rsidR="008A2D25" w:rsidRPr="000336FB" w:rsidRDefault="0064767B" w:rsidP="000336FB">
      <w:pPr>
        <w:ind w:left="567" w:hanging="567"/>
        <w:rPr>
          <w:b/>
          <w:bCs/>
        </w:rPr>
      </w:pPr>
      <w:bookmarkStart w:id="7" w:name="_Hlk195683128"/>
      <w:r>
        <w:rPr>
          <w:b/>
          <w:bCs/>
        </w:rPr>
        <w:t>Qualifications:</w:t>
      </w:r>
      <w:bookmarkStart w:id="8" w:name="_Hlk195805078"/>
      <w:bookmarkEnd w:id="7"/>
    </w:p>
    <w:p w14:paraId="389A256A" w14:textId="05C20A70" w:rsidR="000336FB" w:rsidRDefault="000336FB" w:rsidP="000336FB">
      <w:r>
        <w:t>Relevant tertiary professional Accounting, Finance, Business Administration qualifications or completion or progression towards accounting and audit qualifications provided by professional accounting certifications (CPA Australia, Chartered Accountants Australia and New Zealand (CA ANZ) are highly desirable.</w:t>
      </w:r>
    </w:p>
    <w:bookmarkEnd w:id="8"/>
    <w:p w14:paraId="240A3C94" w14:textId="77777777" w:rsidR="00B12914" w:rsidRDefault="00B12914" w:rsidP="00A331E1"/>
    <w:p w14:paraId="5EEB8E2F" w14:textId="7B18F2CC" w:rsidR="0064767B" w:rsidRDefault="0064767B" w:rsidP="00483083">
      <w:pPr>
        <w:tabs>
          <w:tab w:val="left" w:pos="284"/>
        </w:tabs>
        <w:ind w:left="567" w:hanging="567"/>
        <w:rPr>
          <w:b/>
          <w:bCs/>
        </w:rPr>
      </w:pPr>
      <w:r>
        <w:rPr>
          <w:b/>
          <w:bCs/>
        </w:rPr>
        <w:t>Professional/Technical Skills and Knowledge</w:t>
      </w:r>
      <w:r w:rsidR="00854EB9">
        <w:rPr>
          <w:b/>
          <w:bCs/>
        </w:rPr>
        <w:t>:</w:t>
      </w:r>
    </w:p>
    <w:p w14:paraId="1B4F4B11" w14:textId="77A9404F" w:rsidR="00453001" w:rsidRDefault="00453001" w:rsidP="00D128AF">
      <w:pPr>
        <w:pStyle w:val="ListParagraph"/>
      </w:pPr>
      <w:r>
        <w:t xml:space="preserve">Strong </w:t>
      </w:r>
      <w:r w:rsidR="00F57CCB">
        <w:t xml:space="preserve">understanding </w:t>
      </w:r>
      <w:r w:rsidR="000E1AB5">
        <w:t xml:space="preserve">and contemporary </w:t>
      </w:r>
      <w:r w:rsidR="0052110F">
        <w:t xml:space="preserve">knowledge </w:t>
      </w:r>
      <w:r w:rsidR="00F57CCB">
        <w:t xml:space="preserve">of </w:t>
      </w:r>
      <w:r w:rsidR="000C09A4">
        <w:t xml:space="preserve">financial reporting standards, taxation </w:t>
      </w:r>
      <w:r w:rsidR="00344414">
        <w:t xml:space="preserve">laws </w:t>
      </w:r>
      <w:r w:rsidR="000C09A4">
        <w:t>and procurement requirements</w:t>
      </w:r>
      <w:r w:rsidR="00D45B5E">
        <w:t xml:space="preserve"> with proficiency in financial systems and reporting tools</w:t>
      </w:r>
      <w:r w:rsidR="00396A34">
        <w:t>.</w:t>
      </w:r>
    </w:p>
    <w:p w14:paraId="4356E37B" w14:textId="545083C2" w:rsidR="005A2977" w:rsidRPr="005A2977" w:rsidRDefault="00EC52B8" w:rsidP="00D128AF">
      <w:pPr>
        <w:pStyle w:val="ListParagraph"/>
      </w:pPr>
      <w:r>
        <w:t>Experience</w:t>
      </w:r>
      <w:r w:rsidR="0052110F">
        <w:t xml:space="preserve"> and skills</w:t>
      </w:r>
      <w:r>
        <w:t xml:space="preserve"> in </w:t>
      </w:r>
      <w:r w:rsidR="000C09A4">
        <w:t>financial management, budgeting, forecasting and compliance within</w:t>
      </w:r>
      <w:r w:rsidR="000E1AB5">
        <w:t xml:space="preserve"> </w:t>
      </w:r>
      <w:r w:rsidR="000C09A4">
        <w:t xml:space="preserve">public sector or </w:t>
      </w:r>
      <w:r w:rsidR="000E1AB5">
        <w:t>financial services sector</w:t>
      </w:r>
      <w:r w:rsidR="00453001">
        <w:t>.</w:t>
      </w:r>
      <w:r w:rsidR="005A2977" w:rsidRPr="00D128AF">
        <w:t xml:space="preserve"> </w:t>
      </w:r>
    </w:p>
    <w:p w14:paraId="6696EB53" w14:textId="2FDB9A18" w:rsidR="005A2977" w:rsidRDefault="0052110F" w:rsidP="00D128AF">
      <w:pPr>
        <w:pStyle w:val="ListParagraph"/>
      </w:pPr>
      <w:bookmarkStart w:id="9" w:name="_Hlk204074070"/>
      <w:r>
        <w:t>Proficient a</w:t>
      </w:r>
      <w:r w:rsidR="00A40118">
        <w:t>nalytical and problem-solving skills</w:t>
      </w:r>
      <w:r w:rsidR="000D41F2">
        <w:t xml:space="preserve"> to assess complex financial data, identify issues and develop solutions</w:t>
      </w:r>
      <w:r w:rsidR="005A2977" w:rsidRPr="005A2977">
        <w:t>.</w:t>
      </w:r>
    </w:p>
    <w:p w14:paraId="34E68B1E" w14:textId="40A14279" w:rsidR="000E1AB5" w:rsidRPr="00E75370" w:rsidRDefault="004E26BA" w:rsidP="00D128AF">
      <w:pPr>
        <w:pStyle w:val="ListParagraph"/>
      </w:pPr>
      <w:bookmarkStart w:id="10" w:name="_Hlk204074863"/>
      <w:bookmarkEnd w:id="9"/>
      <w:r>
        <w:lastRenderedPageBreak/>
        <w:t>Strong i</w:t>
      </w:r>
      <w:r w:rsidR="000E1AB5" w:rsidRPr="000C548E">
        <w:t>nterpersonal and communication skills to liaise effectively with internal teams, external agencies, and government bodies</w:t>
      </w:r>
      <w:r>
        <w:t xml:space="preserve">, </w:t>
      </w:r>
      <w:bookmarkStart w:id="11" w:name="_Hlk204074951"/>
      <w:r>
        <w:t>and build collaborative relationships.</w:t>
      </w:r>
      <w:bookmarkEnd w:id="11"/>
    </w:p>
    <w:bookmarkEnd w:id="10"/>
    <w:p w14:paraId="6DF898E3" w14:textId="77777777" w:rsidR="00D45B5E" w:rsidRDefault="00D45B5E" w:rsidP="00D128AF">
      <w:pPr>
        <w:rPr>
          <w:b/>
          <w:bCs/>
        </w:rPr>
      </w:pPr>
    </w:p>
    <w:p w14:paraId="14B30075" w14:textId="4613BB05" w:rsidR="00267D95" w:rsidRDefault="00267D95" w:rsidP="00267D95">
      <w:pPr>
        <w:ind w:left="567" w:hanging="567"/>
        <w:rPr>
          <w:b/>
          <w:bCs/>
        </w:rPr>
      </w:pPr>
      <w:r w:rsidRPr="0064767B">
        <w:rPr>
          <w:b/>
          <w:bCs/>
        </w:rPr>
        <w:t>Behavioural Capabilities</w:t>
      </w:r>
      <w:r>
        <w:rPr>
          <w:b/>
          <w:bCs/>
        </w:rPr>
        <w:t>:</w:t>
      </w:r>
    </w:p>
    <w:p w14:paraId="32254160" w14:textId="77777777" w:rsidR="00267D95" w:rsidRPr="00A62125" w:rsidRDefault="00267D95" w:rsidP="00267D95">
      <w:pPr>
        <w:pStyle w:val="ListParagraph"/>
        <w:numPr>
          <w:ilvl w:val="0"/>
          <w:numId w:val="30"/>
        </w:numPr>
      </w:pPr>
      <w:r w:rsidRPr="00A62125">
        <w:t>Exhibits behaviours that accord with the values of the ACT Audit Office as set out in the ACT Audit Office’s Strategic Plan.</w:t>
      </w:r>
    </w:p>
    <w:p w14:paraId="5A49D48B" w14:textId="77777777" w:rsidR="00267D95" w:rsidRPr="00A62125" w:rsidRDefault="00267D95" w:rsidP="00267D95">
      <w:pPr>
        <w:pStyle w:val="ListParagraph"/>
        <w:numPr>
          <w:ilvl w:val="0"/>
          <w:numId w:val="30"/>
        </w:numPr>
      </w:pPr>
      <w:r w:rsidRPr="00A62125">
        <w:t>Integrity, professionalism, self-reliance, ability to work under pressure, and the demonstrated ability to lead and complete tasks on time and within budget.</w:t>
      </w:r>
    </w:p>
    <w:p w14:paraId="5D6BBC13" w14:textId="77777777" w:rsidR="00267D95" w:rsidRPr="00A62125" w:rsidRDefault="00267D95" w:rsidP="00267D95">
      <w:pPr>
        <w:pStyle w:val="ListParagraph"/>
        <w:numPr>
          <w:ilvl w:val="0"/>
          <w:numId w:val="30"/>
        </w:numPr>
      </w:pPr>
      <w:r w:rsidRPr="00A62125">
        <w:t xml:space="preserve">Demonstrated understanding and commitment to the principles of </w:t>
      </w:r>
      <w:r>
        <w:t xml:space="preserve">the ACT Public Sector </w:t>
      </w:r>
      <w:r w:rsidRPr="00A57684">
        <w:t xml:space="preserve">Respect, Equity and Diversity </w:t>
      </w:r>
      <w:r>
        <w:t>F</w:t>
      </w:r>
      <w:r w:rsidRPr="00A57684">
        <w:t>ramework</w:t>
      </w:r>
      <w:r w:rsidRPr="00A62125">
        <w:t xml:space="preserve"> and work health and safety. </w:t>
      </w:r>
    </w:p>
    <w:p w14:paraId="41505E44" w14:textId="77777777" w:rsidR="00267D95" w:rsidRPr="00483083" w:rsidRDefault="00267D95" w:rsidP="00267D95">
      <w:pPr>
        <w:pStyle w:val="NumberingParagraph"/>
        <w:numPr>
          <w:ilvl w:val="0"/>
          <w:numId w:val="0"/>
        </w:numPr>
        <w:spacing w:after="120"/>
        <w:ind w:left="644"/>
      </w:pPr>
    </w:p>
    <w:p w14:paraId="53D66D65" w14:textId="77777777" w:rsidR="002C231C" w:rsidRDefault="002C231C" w:rsidP="007251B2">
      <w:pPr>
        <w:ind w:left="567" w:hanging="567"/>
        <w:rPr>
          <w:b/>
          <w:bCs/>
        </w:rPr>
      </w:pPr>
    </w:p>
    <w:p w14:paraId="1F587524" w14:textId="0D280863" w:rsidR="0064767B" w:rsidRDefault="0064767B" w:rsidP="007251B2">
      <w:pPr>
        <w:ind w:left="567" w:hanging="567"/>
        <w:rPr>
          <w:b/>
          <w:bCs/>
        </w:rPr>
      </w:pPr>
      <w:r w:rsidRPr="0064767B">
        <w:rPr>
          <w:b/>
          <w:bCs/>
        </w:rPr>
        <w:t>Position of Trust</w:t>
      </w:r>
    </w:p>
    <w:p w14:paraId="10974173" w14:textId="4EA1B644" w:rsidR="008B3942" w:rsidRPr="00885BDE" w:rsidRDefault="008B3942" w:rsidP="008B3942">
      <w:pPr>
        <w:spacing w:after="240"/>
        <w:jc w:val="both"/>
        <w:rPr>
          <w:rFonts w:eastAsia="Times New Roman" w:cstheme="minorHAnsi"/>
          <w:color w:val="313131"/>
          <w:lang w:eastAsia="en-AU"/>
        </w:rPr>
      </w:pPr>
      <w:bookmarkStart w:id="12" w:name="_Hlk195805101"/>
      <w:r w:rsidRPr="00885BDE">
        <w:rPr>
          <w:rFonts w:eastAsia="Times New Roman" w:cstheme="minorHAnsi"/>
          <w:color w:val="313131"/>
          <w:lang w:eastAsia="en-AU"/>
        </w:rPr>
        <w:t xml:space="preserve">ACT Audit Office employees are required to undergo employment screening. The Director, </w:t>
      </w:r>
      <w:r>
        <w:rPr>
          <w:rFonts w:eastAsia="Times New Roman" w:cstheme="minorHAnsi"/>
          <w:color w:val="313131"/>
          <w:lang w:eastAsia="en-AU"/>
        </w:rPr>
        <w:t>Finance and Procurement</w:t>
      </w:r>
      <w:r w:rsidRPr="00885BDE">
        <w:rPr>
          <w:rFonts w:eastAsia="Times New Roman" w:cstheme="minorHAnsi"/>
          <w:color w:val="313131"/>
          <w:lang w:eastAsia="en-AU"/>
        </w:rPr>
        <w:t xml:space="preserve"> position is a Position of Trust 1 and therefore, if you are selected, you will have </w:t>
      </w:r>
      <w:hyperlink r:id="rId7" w:history="1">
        <w:r w:rsidRPr="00885BDE">
          <w:rPr>
            <w:rStyle w:val="Hyperlink"/>
            <w:rFonts w:eastAsia="Times New Roman" w:cstheme="minorHAnsi"/>
            <w:lang w:eastAsia="en-AU"/>
          </w:rPr>
          <w:t>Australian Government Security Vetting Agency</w:t>
        </w:r>
      </w:hyperlink>
      <w:r w:rsidRPr="00885BDE">
        <w:rPr>
          <w:rFonts w:eastAsia="Times New Roman" w:cstheme="minorHAnsi"/>
          <w:color w:val="313131"/>
          <w:lang w:eastAsia="en-AU"/>
        </w:rPr>
        <w:t xml:space="preserve"> Baseline security clearance. If you do not have Baseline security clearance, the Office will undertake an internal security assessment against this criterion, while you await to apply for AGSVA Baseline security clearance. If your Baseline security clearance application is not successful, your employment in the role will be terminated. </w:t>
      </w:r>
    </w:p>
    <w:p w14:paraId="15B6A5F5" w14:textId="77777777" w:rsidR="008B3942" w:rsidRPr="00B12914" w:rsidRDefault="008B3942" w:rsidP="008B3942">
      <w:r>
        <w:t xml:space="preserve">Note: The conditions of employment of staff are contained in the </w:t>
      </w:r>
      <w:r w:rsidRPr="00F20079">
        <w:rPr>
          <w:i/>
          <w:iCs/>
        </w:rPr>
        <w:t>ACT Public Sector Management Act 1994</w:t>
      </w:r>
      <w:r>
        <w:t xml:space="preserve"> and related Public Sector Management Standards, except as provided for in the </w:t>
      </w:r>
      <w:r w:rsidRPr="00933780">
        <w:rPr>
          <w:i/>
          <w:iCs/>
        </w:rPr>
        <w:t>ACT Public Service Administrative and Related Classifications Enterprise Agreement 2023-2026</w:t>
      </w:r>
      <w:r>
        <w:t>.</w:t>
      </w:r>
    </w:p>
    <w:bookmarkEnd w:id="12"/>
    <w:p w14:paraId="171AB96D" w14:textId="77777777" w:rsidR="00933780" w:rsidRDefault="00933780" w:rsidP="0029215C">
      <w:pPr>
        <w:spacing w:after="120"/>
        <w:rPr>
          <w:b/>
          <w:bCs/>
        </w:rPr>
      </w:pPr>
    </w:p>
    <w:p w14:paraId="18BB16DE" w14:textId="75DF6B0D" w:rsidR="00854EB9" w:rsidRPr="00854EB9" w:rsidRDefault="00854EB9" w:rsidP="0029215C">
      <w:pPr>
        <w:spacing w:after="120"/>
        <w:rPr>
          <w:b/>
          <w:bCs/>
        </w:rPr>
      </w:pPr>
      <w:r w:rsidRPr="00854EB9">
        <w:rPr>
          <w:b/>
          <w:bCs/>
        </w:rPr>
        <w:t xml:space="preserve">Position </w:t>
      </w:r>
      <w:r>
        <w:rPr>
          <w:b/>
          <w:bCs/>
        </w:rPr>
        <w:t>description</w:t>
      </w:r>
      <w:r w:rsidRPr="00854EB9">
        <w:rPr>
          <w:b/>
          <w:bCs/>
        </w:rPr>
        <w:t>, classification and selection criteria approved.</w:t>
      </w:r>
    </w:p>
    <w:p w14:paraId="3DB7A17D" w14:textId="23B6DEB8" w:rsidR="00D75DC8" w:rsidRDefault="00D75DC8" w:rsidP="00D75DC8">
      <w:pPr>
        <w:rPr>
          <w:b/>
          <w:bCs/>
          <w:highlight w:val="yellow"/>
        </w:rPr>
      </w:pPr>
    </w:p>
    <w:p w14:paraId="748A39DF" w14:textId="7F38A8D1" w:rsidR="004E5955" w:rsidRPr="004E5955" w:rsidRDefault="004E5955" w:rsidP="004E5955">
      <w:pPr>
        <w:rPr>
          <w:b/>
          <w:bCs/>
          <w:highlight w:val="yellow"/>
        </w:rPr>
      </w:pPr>
    </w:p>
    <w:p w14:paraId="75DB2275" w14:textId="1CEADFED" w:rsidR="004E5955" w:rsidRDefault="004E5955" w:rsidP="004E5955">
      <w:pPr>
        <w:rPr>
          <w:b/>
          <w:bCs/>
          <w:highlight w:val="yellow"/>
        </w:rPr>
      </w:pPr>
    </w:p>
    <w:p w14:paraId="47DFD1BC" w14:textId="77777777" w:rsidR="004E5955" w:rsidRPr="004E5955" w:rsidRDefault="004E5955" w:rsidP="004E5955">
      <w:pPr>
        <w:rPr>
          <w:b/>
          <w:bCs/>
          <w:highlight w:val="yellow"/>
        </w:rPr>
      </w:pPr>
    </w:p>
    <w:p w14:paraId="72C5EBD8" w14:textId="7FF816B2" w:rsidR="004E5955" w:rsidRPr="004E5955" w:rsidRDefault="00014292" w:rsidP="004E5955">
      <w:pPr>
        <w:rPr>
          <w:b/>
          <w:bCs/>
        </w:rPr>
      </w:pPr>
      <w:r>
        <w:rPr>
          <w:b/>
          <w:bCs/>
        </w:rPr>
        <w:t>Ajay Sharma PSM</w:t>
      </w:r>
    </w:p>
    <w:p w14:paraId="2DF5BBB9" w14:textId="77777777" w:rsidR="004E5955" w:rsidRPr="004E5955" w:rsidRDefault="004E5955" w:rsidP="004E5955">
      <w:pPr>
        <w:rPr>
          <w:b/>
          <w:bCs/>
        </w:rPr>
      </w:pPr>
      <w:r w:rsidRPr="004E5955">
        <w:rPr>
          <w:b/>
          <w:bCs/>
        </w:rPr>
        <w:t xml:space="preserve">Auditor-General </w:t>
      </w:r>
    </w:p>
    <w:p w14:paraId="472F8498" w14:textId="52ECA1CD" w:rsidR="004E5955" w:rsidRPr="004E5955" w:rsidRDefault="00014292" w:rsidP="004E5955">
      <w:pPr>
        <w:rPr>
          <w:b/>
          <w:bCs/>
        </w:rPr>
      </w:pPr>
      <w:r>
        <w:rPr>
          <w:b/>
          <w:bCs/>
        </w:rPr>
        <w:t>27 May</w:t>
      </w:r>
      <w:r w:rsidR="004E5955" w:rsidRPr="004E5955">
        <w:rPr>
          <w:b/>
          <w:bCs/>
        </w:rPr>
        <w:t xml:space="preserve"> 2026</w:t>
      </w:r>
    </w:p>
    <w:p w14:paraId="0F90727A" w14:textId="68CDF793" w:rsidR="00854EB9" w:rsidRPr="0064767B" w:rsidRDefault="00854EB9" w:rsidP="00D75DC8">
      <w:pPr>
        <w:rPr>
          <w:b/>
          <w:bCs/>
        </w:rPr>
      </w:pPr>
    </w:p>
    <w:sectPr w:rsidR="00854EB9" w:rsidRPr="0064767B" w:rsidSect="008B3942">
      <w:pgSz w:w="11900" w:h="16840"/>
      <w:pgMar w:top="1440" w:right="1440" w:bottom="1440" w:left="1440" w:header="340"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F56B" w14:textId="77777777" w:rsidR="002A500F" w:rsidRDefault="002A500F" w:rsidP="00556572">
      <w:r>
        <w:separator/>
      </w:r>
    </w:p>
  </w:endnote>
  <w:endnote w:type="continuationSeparator" w:id="0">
    <w:p w14:paraId="59AE95F9" w14:textId="77777777" w:rsidR="002A500F" w:rsidRDefault="002A500F" w:rsidP="0055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3CA0" w14:textId="77777777" w:rsidR="002A500F" w:rsidRDefault="002A500F" w:rsidP="00556572">
      <w:r>
        <w:separator/>
      </w:r>
    </w:p>
  </w:footnote>
  <w:footnote w:type="continuationSeparator" w:id="0">
    <w:p w14:paraId="7A65D468" w14:textId="77777777" w:rsidR="002A500F" w:rsidRDefault="002A500F" w:rsidP="0055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34EC870"/>
    <w:lvl w:ilvl="0">
      <w:start w:val="1"/>
      <w:numFmt w:val="bullet"/>
      <w:pStyle w:val="ListBullet5"/>
      <w:lvlText w:val=""/>
      <w:lvlJc w:val="left"/>
      <w:pPr>
        <w:ind w:left="1492" w:hanging="360"/>
      </w:pPr>
      <w:rPr>
        <w:rFonts w:ascii="Symbol" w:hAnsi="Symbol" w:hint="default"/>
        <w:color w:val="6186C1" w:themeColor="accent5"/>
      </w:rPr>
    </w:lvl>
  </w:abstractNum>
  <w:abstractNum w:abstractNumId="1" w15:restartNumberingAfterBreak="0">
    <w:nsid w:val="FFFFFF81"/>
    <w:multiLevelType w:val="singleLevel"/>
    <w:tmpl w:val="FC04D4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C90B8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A88CB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E70B7A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E1706"/>
    <w:multiLevelType w:val="hybridMultilevel"/>
    <w:tmpl w:val="3FDE7420"/>
    <w:lvl w:ilvl="0" w:tplc="0C090001">
      <w:start w:val="1"/>
      <w:numFmt w:val="bullet"/>
      <w:lvlText w:val=""/>
      <w:lvlJc w:val="left"/>
      <w:pPr>
        <w:ind w:left="644" w:hanging="360"/>
      </w:pPr>
      <w:rPr>
        <w:rFonts w:ascii="Symbol" w:hAnsi="Symbol" w:hint="default"/>
        <w:b/>
        <w:bCs/>
        <w:color w:val="1B3E9D" w:themeColor="accent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5FA7A07"/>
    <w:multiLevelType w:val="hybridMultilevel"/>
    <w:tmpl w:val="C758F058"/>
    <w:lvl w:ilvl="0" w:tplc="0C090001">
      <w:start w:val="1"/>
      <w:numFmt w:val="bullet"/>
      <w:lvlText w:val=""/>
      <w:lvlJc w:val="left"/>
      <w:pPr>
        <w:ind w:left="644" w:hanging="360"/>
      </w:pPr>
      <w:rPr>
        <w:rFonts w:ascii="Symbol" w:hAnsi="Symbol" w:hint="default"/>
        <w:b/>
        <w:bCs/>
        <w:color w:val="1B3E9D" w:themeColor="accent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86D6204"/>
    <w:multiLevelType w:val="multilevel"/>
    <w:tmpl w:val="EBA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E2EC0"/>
    <w:multiLevelType w:val="multilevel"/>
    <w:tmpl w:val="506E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A12E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96BF5"/>
    <w:multiLevelType w:val="hybridMultilevel"/>
    <w:tmpl w:val="573AABF4"/>
    <w:lvl w:ilvl="0" w:tplc="5F188C1E">
      <w:start w:val="1"/>
      <w:numFmt w:val="bullet"/>
      <w:pStyle w:val="ListParagraph"/>
      <w:lvlText w:val=""/>
      <w:lvlJc w:val="left"/>
      <w:pPr>
        <w:ind w:left="567" w:hanging="283"/>
      </w:pPr>
      <w:rPr>
        <w:rFonts w:ascii="Symbol" w:hAnsi="Symbol" w:hint="default"/>
        <w:color w:val="1B3E9D" w:themeColor="accent1"/>
      </w:rPr>
    </w:lvl>
    <w:lvl w:ilvl="1" w:tplc="A20E5FFE">
      <w:start w:val="1"/>
      <w:numFmt w:val="bullet"/>
      <w:pStyle w:val="ListBullet2"/>
      <w:lvlText w:val=""/>
      <w:lvlJc w:val="left"/>
      <w:pPr>
        <w:ind w:left="851" w:hanging="284"/>
      </w:pPr>
      <w:rPr>
        <w:rFonts w:ascii="Symbol" w:hAnsi="Symbol" w:hint="default"/>
        <w:color w:val="1B3E9D" w:themeColor="accent1"/>
      </w:rPr>
    </w:lvl>
    <w:lvl w:ilvl="2" w:tplc="0CC2DAEC">
      <w:start w:val="1"/>
      <w:numFmt w:val="bullet"/>
      <w:pStyle w:val="ListBullet3"/>
      <w:lvlText w:val=""/>
      <w:lvlJc w:val="left"/>
      <w:pPr>
        <w:ind w:left="1134" w:hanging="283"/>
      </w:pPr>
      <w:rPr>
        <w:rFonts w:ascii="Wingdings" w:hAnsi="Wingdings" w:hint="default"/>
        <w:color w:val="1B3E9D" w:themeColor="accent1"/>
      </w:rPr>
    </w:lvl>
    <w:lvl w:ilvl="3" w:tplc="AAE803E2">
      <w:start w:val="1"/>
      <w:numFmt w:val="bullet"/>
      <w:pStyle w:val="ListBullet4"/>
      <w:lvlText w:val=""/>
      <w:lvlJc w:val="left"/>
      <w:pPr>
        <w:ind w:left="1418" w:hanging="284"/>
      </w:pPr>
      <w:rPr>
        <w:rFonts w:ascii="Symbol" w:hAnsi="Symbol" w:hint="default"/>
        <w:color w:val="6186C1" w:themeColor="accent5"/>
        <w:sz w:val="18"/>
        <w:szCs w:val="18"/>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F05C0"/>
    <w:multiLevelType w:val="hybridMultilevel"/>
    <w:tmpl w:val="6B38A2B6"/>
    <w:lvl w:ilvl="0" w:tplc="93048D12">
      <w:start w:val="1"/>
      <w:numFmt w:val="decimal"/>
      <w:pStyle w:val="NumberingParagraph"/>
      <w:lvlText w:val="%1."/>
      <w:lvlJc w:val="left"/>
      <w:pPr>
        <w:ind w:left="644" w:hanging="360"/>
      </w:pPr>
      <w:rPr>
        <w:b/>
        <w:bCs/>
        <w:color w:val="1B3E9D" w:themeColor="accent1"/>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0341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1C5BD4"/>
    <w:multiLevelType w:val="multilevel"/>
    <w:tmpl w:val="33AE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460308"/>
    <w:multiLevelType w:val="multilevel"/>
    <w:tmpl w:val="FA02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5D369F"/>
    <w:multiLevelType w:val="multilevel"/>
    <w:tmpl w:val="4C26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7317C4"/>
    <w:multiLevelType w:val="multilevel"/>
    <w:tmpl w:val="3A6E11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0302150">
    <w:abstractNumId w:val="12"/>
  </w:num>
  <w:num w:numId="2" w16cid:durableId="1678381374">
    <w:abstractNumId w:val="9"/>
  </w:num>
  <w:num w:numId="3" w16cid:durableId="78868136">
    <w:abstractNumId w:val="16"/>
  </w:num>
  <w:num w:numId="4" w16cid:durableId="1383942006">
    <w:abstractNumId w:val="10"/>
  </w:num>
  <w:num w:numId="5" w16cid:durableId="977759874">
    <w:abstractNumId w:val="10"/>
    <w:lvlOverride w:ilvl="0">
      <w:startOverride w:val="1"/>
    </w:lvlOverride>
  </w:num>
  <w:num w:numId="6" w16cid:durableId="401828728">
    <w:abstractNumId w:val="3"/>
  </w:num>
  <w:num w:numId="7" w16cid:durableId="733626868">
    <w:abstractNumId w:val="2"/>
  </w:num>
  <w:num w:numId="8" w16cid:durableId="898596184">
    <w:abstractNumId w:val="4"/>
  </w:num>
  <w:num w:numId="9" w16cid:durableId="482501241">
    <w:abstractNumId w:val="1"/>
  </w:num>
  <w:num w:numId="10" w16cid:durableId="345713785">
    <w:abstractNumId w:val="0"/>
  </w:num>
  <w:num w:numId="11" w16cid:durableId="86971894">
    <w:abstractNumId w:val="11"/>
  </w:num>
  <w:num w:numId="12" w16cid:durableId="424301073">
    <w:abstractNumId w:val="11"/>
  </w:num>
  <w:num w:numId="13" w16cid:durableId="38480810">
    <w:abstractNumId w:val="11"/>
  </w:num>
  <w:num w:numId="14" w16cid:durableId="1334142099">
    <w:abstractNumId w:val="11"/>
  </w:num>
  <w:num w:numId="15" w16cid:durableId="2097245450">
    <w:abstractNumId w:val="10"/>
  </w:num>
  <w:num w:numId="16" w16cid:durableId="1460340393">
    <w:abstractNumId w:val="11"/>
  </w:num>
  <w:num w:numId="17" w16cid:durableId="71969918">
    <w:abstractNumId w:val="11"/>
  </w:num>
  <w:num w:numId="18" w16cid:durableId="167719787">
    <w:abstractNumId w:val="11"/>
  </w:num>
  <w:num w:numId="19" w16cid:durableId="1944608150">
    <w:abstractNumId w:val="11"/>
  </w:num>
  <w:num w:numId="20" w16cid:durableId="1291596419">
    <w:abstractNumId w:val="10"/>
  </w:num>
  <w:num w:numId="21" w16cid:durableId="2039162243">
    <w:abstractNumId w:val="14"/>
  </w:num>
  <w:num w:numId="22" w16cid:durableId="529998292">
    <w:abstractNumId w:val="8"/>
  </w:num>
  <w:num w:numId="23" w16cid:durableId="374351166">
    <w:abstractNumId w:val="7"/>
  </w:num>
  <w:num w:numId="24" w16cid:durableId="1562717019">
    <w:abstractNumId w:val="13"/>
  </w:num>
  <w:num w:numId="25" w16cid:durableId="1422288443">
    <w:abstractNumId w:val="15"/>
  </w:num>
  <w:num w:numId="26" w16cid:durableId="296957680">
    <w:abstractNumId w:val="11"/>
    <w:lvlOverride w:ilvl="0">
      <w:startOverride w:val="1"/>
    </w:lvlOverride>
  </w:num>
  <w:num w:numId="27" w16cid:durableId="2106992062">
    <w:abstractNumId w:val="5"/>
  </w:num>
  <w:num w:numId="28" w16cid:durableId="1478646438">
    <w:abstractNumId w:val="10"/>
  </w:num>
  <w:num w:numId="29" w16cid:durableId="89858287">
    <w:abstractNumId w:val="10"/>
  </w:num>
  <w:num w:numId="30" w16cid:durableId="880899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0F"/>
    <w:rsid w:val="00000010"/>
    <w:rsid w:val="000022CB"/>
    <w:rsid w:val="00007607"/>
    <w:rsid w:val="00014292"/>
    <w:rsid w:val="00031321"/>
    <w:rsid w:val="0003359E"/>
    <w:rsid w:val="000336FB"/>
    <w:rsid w:val="00045D5B"/>
    <w:rsid w:val="00053527"/>
    <w:rsid w:val="00063D92"/>
    <w:rsid w:val="00066607"/>
    <w:rsid w:val="00073D3B"/>
    <w:rsid w:val="00080E10"/>
    <w:rsid w:val="00082274"/>
    <w:rsid w:val="00083660"/>
    <w:rsid w:val="00083A7B"/>
    <w:rsid w:val="00087962"/>
    <w:rsid w:val="000A27F7"/>
    <w:rsid w:val="000B1526"/>
    <w:rsid w:val="000C09A4"/>
    <w:rsid w:val="000C73E0"/>
    <w:rsid w:val="000D2604"/>
    <w:rsid w:val="000D41F2"/>
    <w:rsid w:val="000E1AB5"/>
    <w:rsid w:val="000E2C6B"/>
    <w:rsid w:val="000E635C"/>
    <w:rsid w:val="000F1957"/>
    <w:rsid w:val="000F30A3"/>
    <w:rsid w:val="00101ABC"/>
    <w:rsid w:val="00103B41"/>
    <w:rsid w:val="00115BF3"/>
    <w:rsid w:val="0011733D"/>
    <w:rsid w:val="0012160D"/>
    <w:rsid w:val="00127663"/>
    <w:rsid w:val="00133D46"/>
    <w:rsid w:val="00134291"/>
    <w:rsid w:val="00137156"/>
    <w:rsid w:val="001409D9"/>
    <w:rsid w:val="00142BE8"/>
    <w:rsid w:val="00142F7B"/>
    <w:rsid w:val="00153F6C"/>
    <w:rsid w:val="001605D9"/>
    <w:rsid w:val="001659A5"/>
    <w:rsid w:val="00172A2F"/>
    <w:rsid w:val="001761A0"/>
    <w:rsid w:val="00176457"/>
    <w:rsid w:val="00192458"/>
    <w:rsid w:val="00195394"/>
    <w:rsid w:val="001A6D60"/>
    <w:rsid w:val="001B46DB"/>
    <w:rsid w:val="001B7910"/>
    <w:rsid w:val="001C350E"/>
    <w:rsid w:val="001E1D3E"/>
    <w:rsid w:val="001E4ED9"/>
    <w:rsid w:val="001E568A"/>
    <w:rsid w:val="00204D4C"/>
    <w:rsid w:val="00231E09"/>
    <w:rsid w:val="00234DE0"/>
    <w:rsid w:val="00236A94"/>
    <w:rsid w:val="00242EFD"/>
    <w:rsid w:val="00244F8E"/>
    <w:rsid w:val="00265ED5"/>
    <w:rsid w:val="00267D95"/>
    <w:rsid w:val="002738A8"/>
    <w:rsid w:val="00274066"/>
    <w:rsid w:val="002832BE"/>
    <w:rsid w:val="0028371A"/>
    <w:rsid w:val="0028600D"/>
    <w:rsid w:val="0029215C"/>
    <w:rsid w:val="002A3498"/>
    <w:rsid w:val="002A500F"/>
    <w:rsid w:val="002B0C28"/>
    <w:rsid w:val="002C231C"/>
    <w:rsid w:val="002C3A22"/>
    <w:rsid w:val="002C633E"/>
    <w:rsid w:val="002C6693"/>
    <w:rsid w:val="002C69B5"/>
    <w:rsid w:val="002D0A5F"/>
    <w:rsid w:val="002F5C4F"/>
    <w:rsid w:val="002F7455"/>
    <w:rsid w:val="00304FBC"/>
    <w:rsid w:val="00313037"/>
    <w:rsid w:val="00321704"/>
    <w:rsid w:val="00327933"/>
    <w:rsid w:val="00340265"/>
    <w:rsid w:val="00343955"/>
    <w:rsid w:val="00344414"/>
    <w:rsid w:val="00355663"/>
    <w:rsid w:val="00372E47"/>
    <w:rsid w:val="00377CD9"/>
    <w:rsid w:val="003812F2"/>
    <w:rsid w:val="003935FA"/>
    <w:rsid w:val="003961BB"/>
    <w:rsid w:val="00396A34"/>
    <w:rsid w:val="003A1ED8"/>
    <w:rsid w:val="003C3973"/>
    <w:rsid w:val="003E2A67"/>
    <w:rsid w:val="003E5206"/>
    <w:rsid w:val="003E57E0"/>
    <w:rsid w:val="003E78DC"/>
    <w:rsid w:val="003F7914"/>
    <w:rsid w:val="004011BF"/>
    <w:rsid w:val="00416036"/>
    <w:rsid w:val="00421710"/>
    <w:rsid w:val="00426BEA"/>
    <w:rsid w:val="00431968"/>
    <w:rsid w:val="00433629"/>
    <w:rsid w:val="00437ACB"/>
    <w:rsid w:val="00444419"/>
    <w:rsid w:val="0044726C"/>
    <w:rsid w:val="00453001"/>
    <w:rsid w:val="00460FA9"/>
    <w:rsid w:val="00467E0F"/>
    <w:rsid w:val="004722F4"/>
    <w:rsid w:val="0048035A"/>
    <w:rsid w:val="00483083"/>
    <w:rsid w:val="00483539"/>
    <w:rsid w:val="00496C9C"/>
    <w:rsid w:val="00497412"/>
    <w:rsid w:val="004A5463"/>
    <w:rsid w:val="004B2384"/>
    <w:rsid w:val="004B61DB"/>
    <w:rsid w:val="004C22D3"/>
    <w:rsid w:val="004C625C"/>
    <w:rsid w:val="004C78E8"/>
    <w:rsid w:val="004D35ED"/>
    <w:rsid w:val="004D79FB"/>
    <w:rsid w:val="004E26BA"/>
    <w:rsid w:val="004E420A"/>
    <w:rsid w:val="004E5955"/>
    <w:rsid w:val="004E69C9"/>
    <w:rsid w:val="004F34A7"/>
    <w:rsid w:val="004F52BC"/>
    <w:rsid w:val="00507A58"/>
    <w:rsid w:val="00510115"/>
    <w:rsid w:val="0051632F"/>
    <w:rsid w:val="00516B9A"/>
    <w:rsid w:val="00516ED9"/>
    <w:rsid w:val="0052110F"/>
    <w:rsid w:val="00525B8A"/>
    <w:rsid w:val="00530B8B"/>
    <w:rsid w:val="00535F43"/>
    <w:rsid w:val="00541C31"/>
    <w:rsid w:val="005561A3"/>
    <w:rsid w:val="00556572"/>
    <w:rsid w:val="005601BA"/>
    <w:rsid w:val="00563270"/>
    <w:rsid w:val="0056484C"/>
    <w:rsid w:val="00567753"/>
    <w:rsid w:val="005777AF"/>
    <w:rsid w:val="00582C2E"/>
    <w:rsid w:val="00583FC6"/>
    <w:rsid w:val="00590436"/>
    <w:rsid w:val="005A02F0"/>
    <w:rsid w:val="005A2977"/>
    <w:rsid w:val="005A56B9"/>
    <w:rsid w:val="005C1FD8"/>
    <w:rsid w:val="005D1D4F"/>
    <w:rsid w:val="005D22B1"/>
    <w:rsid w:val="005D477C"/>
    <w:rsid w:val="005E00FF"/>
    <w:rsid w:val="005E48C8"/>
    <w:rsid w:val="005E5C6D"/>
    <w:rsid w:val="005E6ACD"/>
    <w:rsid w:val="00602C27"/>
    <w:rsid w:val="0061155E"/>
    <w:rsid w:val="00625CAD"/>
    <w:rsid w:val="00626A27"/>
    <w:rsid w:val="00631850"/>
    <w:rsid w:val="00633D6B"/>
    <w:rsid w:val="00634175"/>
    <w:rsid w:val="00636D83"/>
    <w:rsid w:val="0064579B"/>
    <w:rsid w:val="0064767B"/>
    <w:rsid w:val="00663466"/>
    <w:rsid w:val="00664D79"/>
    <w:rsid w:val="006818E6"/>
    <w:rsid w:val="006847BA"/>
    <w:rsid w:val="006A6447"/>
    <w:rsid w:val="006B0B79"/>
    <w:rsid w:val="006B1EE3"/>
    <w:rsid w:val="006C3191"/>
    <w:rsid w:val="006C5AAF"/>
    <w:rsid w:val="006C7516"/>
    <w:rsid w:val="006D430E"/>
    <w:rsid w:val="006D4492"/>
    <w:rsid w:val="006E3D0A"/>
    <w:rsid w:val="006F3650"/>
    <w:rsid w:val="007023A0"/>
    <w:rsid w:val="00713B7B"/>
    <w:rsid w:val="00717370"/>
    <w:rsid w:val="0072299F"/>
    <w:rsid w:val="00724FD2"/>
    <w:rsid w:val="007251B2"/>
    <w:rsid w:val="00730563"/>
    <w:rsid w:val="00731905"/>
    <w:rsid w:val="0073504B"/>
    <w:rsid w:val="007407FB"/>
    <w:rsid w:val="00741136"/>
    <w:rsid w:val="00743937"/>
    <w:rsid w:val="007628E0"/>
    <w:rsid w:val="007654BE"/>
    <w:rsid w:val="007764C1"/>
    <w:rsid w:val="00787B82"/>
    <w:rsid w:val="00790B48"/>
    <w:rsid w:val="007B3DB7"/>
    <w:rsid w:val="007C64A9"/>
    <w:rsid w:val="007D3C67"/>
    <w:rsid w:val="007E1553"/>
    <w:rsid w:val="007E2142"/>
    <w:rsid w:val="007E667E"/>
    <w:rsid w:val="00810796"/>
    <w:rsid w:val="00810CDF"/>
    <w:rsid w:val="00823CFA"/>
    <w:rsid w:val="00834A73"/>
    <w:rsid w:val="00837E50"/>
    <w:rsid w:val="00844AD0"/>
    <w:rsid w:val="00854EB9"/>
    <w:rsid w:val="00856B6E"/>
    <w:rsid w:val="00856DF6"/>
    <w:rsid w:val="008603E9"/>
    <w:rsid w:val="008641EF"/>
    <w:rsid w:val="00866FE9"/>
    <w:rsid w:val="00871F47"/>
    <w:rsid w:val="00873B5C"/>
    <w:rsid w:val="00873CFC"/>
    <w:rsid w:val="00875959"/>
    <w:rsid w:val="0088120A"/>
    <w:rsid w:val="00881BC3"/>
    <w:rsid w:val="008843A5"/>
    <w:rsid w:val="00884AE4"/>
    <w:rsid w:val="00885A99"/>
    <w:rsid w:val="008901EE"/>
    <w:rsid w:val="008914C8"/>
    <w:rsid w:val="00895641"/>
    <w:rsid w:val="008A2D25"/>
    <w:rsid w:val="008B3942"/>
    <w:rsid w:val="008C144C"/>
    <w:rsid w:val="008F083C"/>
    <w:rsid w:val="00904C9E"/>
    <w:rsid w:val="00913305"/>
    <w:rsid w:val="00924AE1"/>
    <w:rsid w:val="00930683"/>
    <w:rsid w:val="0093110F"/>
    <w:rsid w:val="00933780"/>
    <w:rsid w:val="009363B2"/>
    <w:rsid w:val="00940BF5"/>
    <w:rsid w:val="009610B8"/>
    <w:rsid w:val="00987C99"/>
    <w:rsid w:val="009901CF"/>
    <w:rsid w:val="00995C16"/>
    <w:rsid w:val="009A50CB"/>
    <w:rsid w:val="009B1CB2"/>
    <w:rsid w:val="009C787E"/>
    <w:rsid w:val="009C7AC6"/>
    <w:rsid w:val="009E440E"/>
    <w:rsid w:val="009E5A6D"/>
    <w:rsid w:val="009F3E4E"/>
    <w:rsid w:val="009F45B7"/>
    <w:rsid w:val="009F51CE"/>
    <w:rsid w:val="009F6100"/>
    <w:rsid w:val="00A026E7"/>
    <w:rsid w:val="00A05E2A"/>
    <w:rsid w:val="00A176E2"/>
    <w:rsid w:val="00A24EE1"/>
    <w:rsid w:val="00A25947"/>
    <w:rsid w:val="00A331E1"/>
    <w:rsid w:val="00A40118"/>
    <w:rsid w:val="00A40B8B"/>
    <w:rsid w:val="00A42ADE"/>
    <w:rsid w:val="00A45C4B"/>
    <w:rsid w:val="00A46430"/>
    <w:rsid w:val="00A54636"/>
    <w:rsid w:val="00A67FB7"/>
    <w:rsid w:val="00A70F9E"/>
    <w:rsid w:val="00A76B5E"/>
    <w:rsid w:val="00AA35D2"/>
    <w:rsid w:val="00AC7482"/>
    <w:rsid w:val="00AD3CDB"/>
    <w:rsid w:val="00AD5909"/>
    <w:rsid w:val="00AE5A4A"/>
    <w:rsid w:val="00AF319A"/>
    <w:rsid w:val="00B05932"/>
    <w:rsid w:val="00B06A64"/>
    <w:rsid w:val="00B10EF9"/>
    <w:rsid w:val="00B1240E"/>
    <w:rsid w:val="00B12914"/>
    <w:rsid w:val="00B16ECF"/>
    <w:rsid w:val="00B23610"/>
    <w:rsid w:val="00B3039B"/>
    <w:rsid w:val="00B42C8C"/>
    <w:rsid w:val="00B508D5"/>
    <w:rsid w:val="00B55897"/>
    <w:rsid w:val="00B62840"/>
    <w:rsid w:val="00B66E7F"/>
    <w:rsid w:val="00B71891"/>
    <w:rsid w:val="00B73398"/>
    <w:rsid w:val="00B9232B"/>
    <w:rsid w:val="00BA3731"/>
    <w:rsid w:val="00BA6496"/>
    <w:rsid w:val="00BB26F9"/>
    <w:rsid w:val="00BC0858"/>
    <w:rsid w:val="00BC3C35"/>
    <w:rsid w:val="00BD3996"/>
    <w:rsid w:val="00BD53E4"/>
    <w:rsid w:val="00BD6CD3"/>
    <w:rsid w:val="00BE2983"/>
    <w:rsid w:val="00C205FF"/>
    <w:rsid w:val="00C20653"/>
    <w:rsid w:val="00C246F8"/>
    <w:rsid w:val="00C24FC8"/>
    <w:rsid w:val="00C26AF8"/>
    <w:rsid w:val="00C27AB3"/>
    <w:rsid w:val="00C30DBF"/>
    <w:rsid w:val="00C3293F"/>
    <w:rsid w:val="00C33C9E"/>
    <w:rsid w:val="00C340C6"/>
    <w:rsid w:val="00C4235C"/>
    <w:rsid w:val="00C478EB"/>
    <w:rsid w:val="00C5267A"/>
    <w:rsid w:val="00C52D6C"/>
    <w:rsid w:val="00C62FBD"/>
    <w:rsid w:val="00C714DA"/>
    <w:rsid w:val="00C84A74"/>
    <w:rsid w:val="00CA5464"/>
    <w:rsid w:val="00CA713D"/>
    <w:rsid w:val="00CB02D3"/>
    <w:rsid w:val="00CB362B"/>
    <w:rsid w:val="00CC0631"/>
    <w:rsid w:val="00CC1CC7"/>
    <w:rsid w:val="00CD6026"/>
    <w:rsid w:val="00D0090D"/>
    <w:rsid w:val="00D0473C"/>
    <w:rsid w:val="00D055D5"/>
    <w:rsid w:val="00D128AF"/>
    <w:rsid w:val="00D17F20"/>
    <w:rsid w:val="00D2585F"/>
    <w:rsid w:val="00D32700"/>
    <w:rsid w:val="00D40B29"/>
    <w:rsid w:val="00D439E1"/>
    <w:rsid w:val="00D446E7"/>
    <w:rsid w:val="00D45B5E"/>
    <w:rsid w:val="00D47AE6"/>
    <w:rsid w:val="00D50917"/>
    <w:rsid w:val="00D65C1C"/>
    <w:rsid w:val="00D71D9F"/>
    <w:rsid w:val="00D7335B"/>
    <w:rsid w:val="00D7536B"/>
    <w:rsid w:val="00D75DC8"/>
    <w:rsid w:val="00D94502"/>
    <w:rsid w:val="00D96D12"/>
    <w:rsid w:val="00DA4019"/>
    <w:rsid w:val="00DB1E95"/>
    <w:rsid w:val="00DB209A"/>
    <w:rsid w:val="00DB6176"/>
    <w:rsid w:val="00DB7F12"/>
    <w:rsid w:val="00DC5FA0"/>
    <w:rsid w:val="00DC6AAF"/>
    <w:rsid w:val="00DD12FA"/>
    <w:rsid w:val="00DD5FFC"/>
    <w:rsid w:val="00DD7513"/>
    <w:rsid w:val="00DD7D7F"/>
    <w:rsid w:val="00DE1749"/>
    <w:rsid w:val="00DF1FB3"/>
    <w:rsid w:val="00DF5F18"/>
    <w:rsid w:val="00DF6988"/>
    <w:rsid w:val="00E07905"/>
    <w:rsid w:val="00E270B7"/>
    <w:rsid w:val="00E34D43"/>
    <w:rsid w:val="00E34E9A"/>
    <w:rsid w:val="00E35B69"/>
    <w:rsid w:val="00E36A1D"/>
    <w:rsid w:val="00E41CFB"/>
    <w:rsid w:val="00E41E7E"/>
    <w:rsid w:val="00E47B7F"/>
    <w:rsid w:val="00E54A3F"/>
    <w:rsid w:val="00E55B36"/>
    <w:rsid w:val="00E57B64"/>
    <w:rsid w:val="00E62EA3"/>
    <w:rsid w:val="00E659F7"/>
    <w:rsid w:val="00E72371"/>
    <w:rsid w:val="00E74272"/>
    <w:rsid w:val="00EA77DC"/>
    <w:rsid w:val="00EC432A"/>
    <w:rsid w:val="00EC52B8"/>
    <w:rsid w:val="00ED3EE3"/>
    <w:rsid w:val="00ED62A7"/>
    <w:rsid w:val="00EE368B"/>
    <w:rsid w:val="00EE3A91"/>
    <w:rsid w:val="00EF2022"/>
    <w:rsid w:val="00EF53DC"/>
    <w:rsid w:val="00EF7900"/>
    <w:rsid w:val="00EF7F4D"/>
    <w:rsid w:val="00F013E0"/>
    <w:rsid w:val="00F039CB"/>
    <w:rsid w:val="00F15C98"/>
    <w:rsid w:val="00F20079"/>
    <w:rsid w:val="00F202B3"/>
    <w:rsid w:val="00F21C7C"/>
    <w:rsid w:val="00F22856"/>
    <w:rsid w:val="00F3094B"/>
    <w:rsid w:val="00F511BC"/>
    <w:rsid w:val="00F57CCB"/>
    <w:rsid w:val="00F60089"/>
    <w:rsid w:val="00F66710"/>
    <w:rsid w:val="00F82663"/>
    <w:rsid w:val="00F86F33"/>
    <w:rsid w:val="00F90084"/>
    <w:rsid w:val="00F94337"/>
    <w:rsid w:val="00F9642D"/>
    <w:rsid w:val="00FA6C01"/>
    <w:rsid w:val="00FB02C8"/>
    <w:rsid w:val="00FB2AFD"/>
    <w:rsid w:val="00FB6B53"/>
    <w:rsid w:val="00FD6AC2"/>
    <w:rsid w:val="00FF758E"/>
    <w:rsid w:val="0B0FF50E"/>
    <w:rsid w:val="209E9D45"/>
    <w:rsid w:val="22BA3716"/>
    <w:rsid w:val="2F80F3DC"/>
    <w:rsid w:val="427875C8"/>
    <w:rsid w:val="4D171C4B"/>
    <w:rsid w:val="52FB92AA"/>
    <w:rsid w:val="5705852D"/>
    <w:rsid w:val="626EBED3"/>
    <w:rsid w:val="63CCA7D0"/>
    <w:rsid w:val="6A900EDF"/>
    <w:rsid w:val="6BFB0D26"/>
    <w:rsid w:val="701B4905"/>
    <w:rsid w:val="73A4BD0B"/>
    <w:rsid w:val="78739F11"/>
    <w:rsid w:val="7C7952B2"/>
    <w:rsid w:val="7C7AD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5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E1"/>
    <w:pPr>
      <w:spacing w:before="60" w:after="60"/>
    </w:pPr>
    <w:rPr>
      <w:rFonts w:ascii="Calibri Light" w:hAnsi="Calibri Light" w:cs="Calibri Light"/>
      <w:color w:val="000000" w:themeColor="text1"/>
      <w:sz w:val="22"/>
      <w:szCs w:val="22"/>
    </w:rPr>
  </w:style>
  <w:style w:type="paragraph" w:styleId="Heading1">
    <w:name w:val="heading 1"/>
    <w:next w:val="Normal"/>
    <w:link w:val="Heading1Char"/>
    <w:uiPriority w:val="9"/>
    <w:qFormat/>
    <w:rsid w:val="00D40B29"/>
    <w:pPr>
      <w:keepNext/>
      <w:keepLines/>
      <w:spacing w:before="360"/>
      <w:outlineLvl w:val="0"/>
    </w:pPr>
    <w:rPr>
      <w:rFonts w:asciiTheme="majorHAnsi" w:eastAsiaTheme="majorEastAsia" w:hAnsiTheme="majorHAnsi" w:cstheme="majorBidi"/>
      <w:b/>
      <w:bCs/>
      <w:color w:val="1B3E9D" w:themeColor="accent1"/>
      <w:sz w:val="36"/>
      <w:szCs w:val="36"/>
    </w:rPr>
  </w:style>
  <w:style w:type="paragraph" w:styleId="Heading2">
    <w:name w:val="heading 2"/>
    <w:next w:val="Normal"/>
    <w:link w:val="Heading2Char"/>
    <w:uiPriority w:val="9"/>
    <w:unhideWhenUsed/>
    <w:qFormat/>
    <w:rsid w:val="00D40B29"/>
    <w:pPr>
      <w:keepNext/>
      <w:keepLines/>
      <w:spacing w:before="360" w:after="60"/>
      <w:outlineLvl w:val="1"/>
    </w:pPr>
    <w:rPr>
      <w:rFonts w:asciiTheme="majorHAnsi" w:eastAsiaTheme="majorEastAsia" w:hAnsiTheme="majorHAnsi" w:cstheme="majorBidi"/>
      <w:b/>
      <w:bCs/>
      <w:color w:val="1B3E9D" w:themeColor="accent1"/>
      <w:sz w:val="32"/>
      <w:szCs w:val="32"/>
    </w:rPr>
  </w:style>
  <w:style w:type="paragraph" w:styleId="Heading3">
    <w:name w:val="heading 3"/>
    <w:next w:val="Normal"/>
    <w:link w:val="Heading3Char"/>
    <w:uiPriority w:val="9"/>
    <w:unhideWhenUsed/>
    <w:qFormat/>
    <w:rsid w:val="00A67FB7"/>
    <w:pPr>
      <w:keepNext/>
      <w:keepLines/>
      <w:spacing w:before="240" w:after="120"/>
      <w:outlineLvl w:val="2"/>
    </w:pPr>
    <w:rPr>
      <w:rFonts w:eastAsiaTheme="majorEastAsia" w:cstheme="majorBidi"/>
      <w:b/>
      <w:bCs/>
      <w:color w:val="1B3E9D" w:themeColor="accent1"/>
      <w:sz w:val="28"/>
      <w:szCs w:val="28"/>
    </w:rPr>
  </w:style>
  <w:style w:type="paragraph" w:styleId="Heading4">
    <w:name w:val="heading 4"/>
    <w:next w:val="Normal"/>
    <w:link w:val="Heading4Char"/>
    <w:uiPriority w:val="9"/>
    <w:unhideWhenUsed/>
    <w:rsid w:val="00E35B69"/>
    <w:pPr>
      <w:spacing w:before="240"/>
      <w:outlineLvl w:val="3"/>
    </w:pPr>
    <w:rPr>
      <w:b/>
      <w:bCs/>
      <w:color w:val="1B3E9D" w:themeColor="accent1"/>
    </w:rPr>
  </w:style>
  <w:style w:type="paragraph" w:styleId="Heading5">
    <w:name w:val="heading 5"/>
    <w:next w:val="Normal"/>
    <w:link w:val="Heading5Char"/>
    <w:uiPriority w:val="9"/>
    <w:unhideWhenUsed/>
    <w:rsid w:val="00F82663"/>
    <w:pPr>
      <w:spacing w:before="240"/>
      <w:outlineLvl w:val="4"/>
    </w:pPr>
    <w:rPr>
      <w:rFonts w:cs="Times New Roman (Body CS)"/>
      <w:b/>
      <w:bCs/>
      <w:i/>
      <w:iCs/>
      <w:caps/>
      <w:color w:val="042055" w:themeColor="text2"/>
      <w:spacing w:val="20"/>
      <w:sz w:val="20"/>
      <w:szCs w:val="20"/>
    </w:rPr>
  </w:style>
  <w:style w:type="paragraph" w:styleId="Heading6">
    <w:name w:val="heading 6"/>
    <w:basedOn w:val="Normal"/>
    <w:next w:val="Normal"/>
    <w:link w:val="Heading6Char"/>
    <w:uiPriority w:val="9"/>
    <w:unhideWhenUsed/>
    <w:rsid w:val="00F82663"/>
    <w:pPr>
      <w:keepNext/>
      <w:keepLines/>
      <w:spacing w:before="40"/>
      <w:outlineLvl w:val="5"/>
    </w:pPr>
    <w:rPr>
      <w:rFonts w:eastAsiaTheme="majorEastAsia" w:cstheme="majorBidi"/>
      <w:color w:val="1B3E9D" w:themeColor="accent1"/>
      <w:sz w:val="21"/>
      <w:szCs w:val="21"/>
    </w:rPr>
  </w:style>
  <w:style w:type="paragraph" w:styleId="Heading7">
    <w:name w:val="heading 7"/>
    <w:basedOn w:val="Normal"/>
    <w:next w:val="Normal"/>
    <w:link w:val="Heading7Char"/>
    <w:uiPriority w:val="9"/>
    <w:unhideWhenUsed/>
    <w:rsid w:val="00F82663"/>
    <w:pPr>
      <w:outlineLvl w:val="6"/>
    </w:pPr>
    <w:rPr>
      <w:b/>
      <w:bCs/>
      <w:color w:val="6186C1" w:themeColor="accent5"/>
      <w:sz w:val="20"/>
      <w:szCs w:val="20"/>
    </w:rPr>
  </w:style>
  <w:style w:type="paragraph" w:styleId="Heading8">
    <w:name w:val="heading 8"/>
    <w:basedOn w:val="Heading7"/>
    <w:next w:val="Normal"/>
    <w:link w:val="Heading8Char"/>
    <w:uiPriority w:val="9"/>
    <w:unhideWhenUsed/>
    <w:rsid w:val="00F82663"/>
    <w:pPr>
      <w:outlineLvl w:val="7"/>
    </w:pPr>
    <w:rPr>
      <w:b w:val="0"/>
      <w:bCs w:val="0"/>
      <w:i/>
      <w:iCs/>
    </w:rPr>
  </w:style>
  <w:style w:type="paragraph" w:styleId="Heading9">
    <w:name w:val="heading 9"/>
    <w:basedOn w:val="Heading8"/>
    <w:next w:val="Normal"/>
    <w:link w:val="Heading9Char"/>
    <w:uiPriority w:val="9"/>
    <w:unhideWhenUsed/>
    <w:rsid w:val="00F82663"/>
    <w:pPr>
      <w:outlineLvl w:val="8"/>
    </w:pPr>
    <w:rPr>
      <w:i w:val="0"/>
      <w:iCs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29"/>
    <w:rPr>
      <w:rFonts w:asciiTheme="majorHAnsi" w:eastAsiaTheme="majorEastAsia" w:hAnsiTheme="majorHAnsi" w:cstheme="majorBidi"/>
      <w:b/>
      <w:bCs/>
      <w:color w:val="1B3E9D" w:themeColor="accent1"/>
      <w:sz w:val="36"/>
      <w:szCs w:val="36"/>
    </w:rPr>
  </w:style>
  <w:style w:type="character" w:customStyle="1" w:styleId="Heading2Char">
    <w:name w:val="Heading 2 Char"/>
    <w:basedOn w:val="DefaultParagraphFont"/>
    <w:link w:val="Heading2"/>
    <w:uiPriority w:val="9"/>
    <w:rsid w:val="00D40B29"/>
    <w:rPr>
      <w:rFonts w:asciiTheme="majorHAnsi" w:eastAsiaTheme="majorEastAsia" w:hAnsiTheme="majorHAnsi" w:cstheme="majorBidi"/>
      <w:b/>
      <w:bCs/>
      <w:color w:val="1B3E9D" w:themeColor="accent1"/>
      <w:sz w:val="32"/>
      <w:szCs w:val="32"/>
    </w:rPr>
  </w:style>
  <w:style w:type="character" w:customStyle="1" w:styleId="Heading3Char">
    <w:name w:val="Heading 3 Char"/>
    <w:basedOn w:val="DefaultParagraphFont"/>
    <w:link w:val="Heading3"/>
    <w:uiPriority w:val="9"/>
    <w:rsid w:val="00A67FB7"/>
    <w:rPr>
      <w:rFonts w:eastAsiaTheme="majorEastAsia" w:cstheme="majorBidi"/>
      <w:b/>
      <w:bCs/>
      <w:color w:val="1B3E9D" w:themeColor="accent1"/>
      <w:sz w:val="28"/>
      <w:szCs w:val="28"/>
    </w:rPr>
  </w:style>
  <w:style w:type="character" w:customStyle="1" w:styleId="Heading4Char">
    <w:name w:val="Heading 4 Char"/>
    <w:basedOn w:val="DefaultParagraphFont"/>
    <w:link w:val="Heading4"/>
    <w:uiPriority w:val="9"/>
    <w:rsid w:val="00E35B69"/>
    <w:rPr>
      <w:b/>
      <w:bCs/>
      <w:color w:val="1B3E9D" w:themeColor="accent1"/>
    </w:rPr>
  </w:style>
  <w:style w:type="character" w:customStyle="1" w:styleId="Heading5Char">
    <w:name w:val="Heading 5 Char"/>
    <w:basedOn w:val="DefaultParagraphFont"/>
    <w:link w:val="Heading5"/>
    <w:uiPriority w:val="9"/>
    <w:rsid w:val="00F82663"/>
    <w:rPr>
      <w:rFonts w:cs="Times New Roman (Body CS)"/>
      <w:b/>
      <w:bCs/>
      <w:i/>
      <w:iCs/>
      <w:caps/>
      <w:color w:val="042055" w:themeColor="text2"/>
      <w:spacing w:val="20"/>
      <w:sz w:val="20"/>
      <w:szCs w:val="20"/>
    </w:rPr>
  </w:style>
  <w:style w:type="character" w:customStyle="1" w:styleId="Heading6Char">
    <w:name w:val="Heading 6 Char"/>
    <w:basedOn w:val="DefaultParagraphFont"/>
    <w:link w:val="Heading6"/>
    <w:uiPriority w:val="9"/>
    <w:rsid w:val="00F82663"/>
    <w:rPr>
      <w:rFonts w:ascii="Calibri Light" w:eastAsiaTheme="majorEastAsia" w:hAnsi="Calibri Light" w:cstheme="majorBidi"/>
      <w:color w:val="1B3E9D" w:themeColor="accent1"/>
      <w:sz w:val="21"/>
      <w:szCs w:val="21"/>
    </w:rPr>
  </w:style>
  <w:style w:type="character" w:customStyle="1" w:styleId="Heading7Char">
    <w:name w:val="Heading 7 Char"/>
    <w:basedOn w:val="DefaultParagraphFont"/>
    <w:link w:val="Heading7"/>
    <w:uiPriority w:val="9"/>
    <w:rsid w:val="00F82663"/>
    <w:rPr>
      <w:rFonts w:ascii="Calibri Light" w:hAnsi="Calibri Light" w:cs="Calibri Light"/>
      <w:b/>
      <w:bCs/>
      <w:color w:val="6186C1" w:themeColor="accent5"/>
      <w:sz w:val="20"/>
      <w:szCs w:val="20"/>
    </w:rPr>
  </w:style>
  <w:style w:type="character" w:customStyle="1" w:styleId="Heading8Char">
    <w:name w:val="Heading 8 Char"/>
    <w:basedOn w:val="DefaultParagraphFont"/>
    <w:link w:val="Heading8"/>
    <w:uiPriority w:val="9"/>
    <w:rsid w:val="00F82663"/>
    <w:rPr>
      <w:rFonts w:ascii="Calibri Light" w:hAnsi="Calibri Light" w:cs="Calibri Light"/>
      <w:i/>
      <w:iCs/>
      <w:color w:val="6186C1" w:themeColor="accent5"/>
      <w:sz w:val="20"/>
      <w:szCs w:val="20"/>
    </w:rPr>
  </w:style>
  <w:style w:type="character" w:customStyle="1" w:styleId="Heading9Char">
    <w:name w:val="Heading 9 Char"/>
    <w:basedOn w:val="DefaultParagraphFont"/>
    <w:link w:val="Heading9"/>
    <w:uiPriority w:val="9"/>
    <w:rsid w:val="00F82663"/>
    <w:rPr>
      <w:rFonts w:ascii="Calibri Light" w:hAnsi="Calibri Light" w:cs="Calibri Light"/>
      <w:color w:val="6186C1" w:themeColor="accent5"/>
      <w:sz w:val="18"/>
      <w:szCs w:val="18"/>
    </w:rPr>
  </w:style>
  <w:style w:type="paragraph" w:styleId="Title">
    <w:name w:val="Title"/>
    <w:basedOn w:val="Normal"/>
    <w:next w:val="Normal"/>
    <w:link w:val="TitleChar"/>
    <w:uiPriority w:val="10"/>
    <w:qFormat/>
    <w:rsid w:val="005777AF"/>
    <w:pPr>
      <w:pBdr>
        <w:left w:val="single" w:sz="24" w:space="4" w:color="042055" w:themeColor="text2"/>
        <w:bottom w:val="single" w:sz="24" w:space="2" w:color="042055" w:themeColor="text2"/>
        <w:right w:val="single" w:sz="24" w:space="4" w:color="042055" w:themeColor="text2"/>
      </w:pBdr>
      <w:shd w:val="clear" w:color="auto" w:fill="042055" w:themeFill="text2"/>
      <w:spacing w:after="240"/>
      <w:contextualSpacing/>
    </w:pPr>
    <w:rPr>
      <w:rFonts w:asciiTheme="majorHAnsi" w:eastAsiaTheme="majorEastAsia" w:hAnsiTheme="majorHAnsi" w:cstheme="majorBidi"/>
      <w:color w:val="FFFFFF" w:themeColor="background1" w:themeTint="D9"/>
      <w:spacing w:val="-10"/>
      <w:kern w:val="28"/>
      <w:sz w:val="48"/>
      <w:szCs w:val="48"/>
    </w:rPr>
  </w:style>
  <w:style w:type="character" w:customStyle="1" w:styleId="TitleChar">
    <w:name w:val="Title Char"/>
    <w:basedOn w:val="DefaultParagraphFont"/>
    <w:link w:val="Title"/>
    <w:uiPriority w:val="10"/>
    <w:rsid w:val="005777AF"/>
    <w:rPr>
      <w:rFonts w:asciiTheme="majorHAnsi" w:eastAsiaTheme="majorEastAsia" w:hAnsiTheme="majorHAnsi" w:cstheme="majorBidi"/>
      <w:color w:val="FFFFFF" w:themeColor="background1" w:themeTint="D9"/>
      <w:spacing w:val="-10"/>
      <w:kern w:val="28"/>
      <w:sz w:val="48"/>
      <w:szCs w:val="48"/>
      <w:shd w:val="clear" w:color="auto" w:fill="042055" w:themeFill="text2"/>
    </w:rPr>
  </w:style>
  <w:style w:type="paragraph" w:styleId="Subtitle">
    <w:name w:val="Subtitle"/>
    <w:next w:val="Normal"/>
    <w:link w:val="SubtitleChar"/>
    <w:uiPriority w:val="11"/>
    <w:rsid w:val="00FB02C8"/>
    <w:pPr>
      <w:numPr>
        <w:ilvl w:val="1"/>
      </w:numPr>
      <w:spacing w:after="160"/>
    </w:pPr>
    <w:rPr>
      <w:rFonts w:asciiTheme="majorHAnsi" w:eastAsiaTheme="majorEastAsia" w:hAnsiTheme="majorHAnsi" w:cs="Times New Roman (Headings CS)"/>
      <w:caps/>
      <w:color w:val="1B3E9D" w:themeColor="accent1"/>
      <w:spacing w:val="48"/>
      <w:sz w:val="28"/>
      <w:szCs w:val="34"/>
    </w:rPr>
  </w:style>
  <w:style w:type="character" w:customStyle="1" w:styleId="SubtitleChar">
    <w:name w:val="Subtitle Char"/>
    <w:basedOn w:val="DefaultParagraphFont"/>
    <w:link w:val="Subtitle"/>
    <w:uiPriority w:val="11"/>
    <w:rsid w:val="00FB02C8"/>
    <w:rPr>
      <w:rFonts w:asciiTheme="majorHAnsi" w:eastAsiaTheme="majorEastAsia" w:hAnsiTheme="majorHAnsi" w:cs="Times New Roman (Headings CS)"/>
      <w:caps/>
      <w:color w:val="1B3E9D" w:themeColor="accent1"/>
      <w:spacing w:val="48"/>
      <w:sz w:val="28"/>
      <w:szCs w:val="34"/>
    </w:rPr>
  </w:style>
  <w:style w:type="paragraph" w:styleId="Quote">
    <w:name w:val="Quote"/>
    <w:basedOn w:val="Normal"/>
    <w:next w:val="Normal"/>
    <w:link w:val="QuoteChar"/>
    <w:uiPriority w:val="29"/>
    <w:rsid w:val="000B1526"/>
    <w:pPr>
      <w:spacing w:before="160" w:after="160"/>
      <w:jc w:val="center"/>
    </w:pPr>
    <w:rPr>
      <w:i/>
      <w:iCs/>
      <w14:textFill>
        <w14:solidFill>
          <w14:schemeClr w14:val="tx1">
            <w14:lumMod w14:val="75000"/>
            <w14:lumOff w14:val="25000"/>
            <w14:lumMod w14:val="65000"/>
            <w14:lumOff w14:val="35000"/>
          </w14:schemeClr>
        </w14:solidFill>
      </w14:textFill>
    </w:rPr>
  </w:style>
  <w:style w:type="character" w:customStyle="1" w:styleId="QuoteChar">
    <w:name w:val="Quote Char"/>
    <w:basedOn w:val="DefaultParagraphFont"/>
    <w:link w:val="Quote"/>
    <w:uiPriority w:val="29"/>
    <w:rsid w:val="000B1526"/>
    <w:rPr>
      <w:i/>
      <w:iCs/>
      <w:color w:val="404040" w:themeColor="text1" w:themeTint="BF"/>
    </w:rPr>
  </w:style>
  <w:style w:type="paragraph" w:styleId="ListParagraph">
    <w:name w:val="List Paragraph"/>
    <w:basedOn w:val="Normal"/>
    <w:link w:val="ListParagraphChar"/>
    <w:uiPriority w:val="34"/>
    <w:qFormat/>
    <w:rsid w:val="008A2D25"/>
    <w:pPr>
      <w:numPr>
        <w:numId w:val="4"/>
      </w:numPr>
    </w:pPr>
  </w:style>
  <w:style w:type="character" w:styleId="IntenseEmphasis">
    <w:name w:val="Intense Emphasis"/>
    <w:basedOn w:val="DefaultParagraphFont"/>
    <w:uiPriority w:val="21"/>
    <w:rsid w:val="000B1526"/>
    <w:rPr>
      <w:i/>
      <w:iCs/>
      <w:color w:val="142E75" w:themeColor="accent1" w:themeShade="BF"/>
    </w:rPr>
  </w:style>
  <w:style w:type="paragraph" w:styleId="IntenseQuote">
    <w:name w:val="Intense Quote"/>
    <w:basedOn w:val="Normal"/>
    <w:next w:val="Normal"/>
    <w:link w:val="IntenseQuoteChar"/>
    <w:uiPriority w:val="30"/>
    <w:rsid w:val="000B1526"/>
    <w:pPr>
      <w:pBdr>
        <w:top w:val="single" w:sz="4" w:space="10" w:color="142E75" w:themeColor="accent1" w:themeShade="BF"/>
        <w:bottom w:val="single" w:sz="4" w:space="10" w:color="142E75" w:themeColor="accent1" w:themeShade="BF"/>
      </w:pBdr>
      <w:spacing w:before="360" w:after="360"/>
      <w:ind w:left="864" w:right="864"/>
      <w:jc w:val="center"/>
    </w:pPr>
    <w:rPr>
      <w:i/>
      <w:iCs/>
      <w:color w:val="1B3E9D" w:themeColor="accent1"/>
      <w14:textFill>
        <w14:solidFill>
          <w14:schemeClr w14:val="accent1">
            <w14:lumMod w14:val="75000"/>
            <w14:lumMod w14:val="65000"/>
            <w14:lumOff w14:val="35000"/>
          </w14:schemeClr>
        </w14:solidFill>
      </w14:textFill>
    </w:rPr>
  </w:style>
  <w:style w:type="character" w:customStyle="1" w:styleId="IntenseQuoteChar">
    <w:name w:val="Intense Quote Char"/>
    <w:basedOn w:val="DefaultParagraphFont"/>
    <w:link w:val="IntenseQuote"/>
    <w:uiPriority w:val="30"/>
    <w:rsid w:val="000B1526"/>
    <w:rPr>
      <w:i/>
      <w:iCs/>
      <w:color w:val="142E75" w:themeColor="accent1" w:themeShade="BF"/>
    </w:rPr>
  </w:style>
  <w:style w:type="character" w:styleId="IntenseReference">
    <w:name w:val="Intense Reference"/>
    <w:basedOn w:val="DefaultParagraphFont"/>
    <w:uiPriority w:val="32"/>
    <w:rsid w:val="000B1526"/>
    <w:rPr>
      <w:b/>
      <w:bCs/>
      <w:smallCaps/>
      <w:color w:val="142E75" w:themeColor="accent1" w:themeShade="BF"/>
      <w:spacing w:val="5"/>
    </w:rPr>
  </w:style>
  <w:style w:type="paragraph" w:styleId="Header">
    <w:name w:val="header"/>
    <w:link w:val="HeaderChar"/>
    <w:uiPriority w:val="99"/>
    <w:unhideWhenUsed/>
    <w:rsid w:val="00BE2983"/>
    <w:pPr>
      <w:tabs>
        <w:tab w:val="center" w:pos="4680"/>
        <w:tab w:val="right" w:pos="9360"/>
      </w:tabs>
    </w:pPr>
    <w:rPr>
      <w:rFonts w:cs="Times New Roman (Body CS)"/>
      <w:b/>
      <w:caps/>
      <w:color w:val="042055" w:themeColor="text2"/>
      <w:spacing w:val="48"/>
      <w:sz w:val="16"/>
      <w:szCs w:val="20"/>
    </w:rPr>
  </w:style>
  <w:style w:type="character" w:customStyle="1" w:styleId="HeaderChar">
    <w:name w:val="Header Char"/>
    <w:basedOn w:val="DefaultParagraphFont"/>
    <w:link w:val="Header"/>
    <w:uiPriority w:val="99"/>
    <w:rsid w:val="00BE2983"/>
    <w:rPr>
      <w:rFonts w:cs="Times New Roman (Body CS)"/>
      <w:b/>
      <w:caps/>
      <w:color w:val="042055" w:themeColor="text2"/>
      <w:spacing w:val="48"/>
      <w:sz w:val="16"/>
      <w:szCs w:val="20"/>
    </w:rPr>
  </w:style>
  <w:style w:type="paragraph" w:styleId="Footer">
    <w:name w:val="footer"/>
    <w:link w:val="FooterChar"/>
    <w:uiPriority w:val="99"/>
    <w:unhideWhenUsed/>
    <w:rsid w:val="00556572"/>
    <w:pPr>
      <w:tabs>
        <w:tab w:val="center" w:pos="4680"/>
        <w:tab w:val="right" w:pos="9360"/>
      </w:tabs>
    </w:pPr>
    <w:rPr>
      <w:rFonts w:cs="Times New Roman (Body CS)"/>
      <w:caps/>
      <w:color w:val="000000" w:themeColor="text1"/>
      <w:spacing w:val="40"/>
      <w:sz w:val="14"/>
      <w:szCs w:val="20"/>
    </w:rPr>
  </w:style>
  <w:style w:type="character" w:customStyle="1" w:styleId="FooterChar">
    <w:name w:val="Footer Char"/>
    <w:basedOn w:val="DefaultParagraphFont"/>
    <w:link w:val="Footer"/>
    <w:uiPriority w:val="99"/>
    <w:rsid w:val="00556572"/>
    <w:rPr>
      <w:rFonts w:cs="Times New Roman (Body CS)"/>
      <w:caps/>
      <w:color w:val="000000" w:themeColor="text1"/>
      <w:spacing w:val="40"/>
      <w:sz w:val="14"/>
      <w:szCs w:val="20"/>
    </w:rPr>
  </w:style>
  <w:style w:type="paragraph" w:styleId="NoSpacing">
    <w:name w:val="No Spacing"/>
    <w:uiPriority w:val="1"/>
    <w:qFormat/>
    <w:rsid w:val="00556572"/>
    <w:rPr>
      <w:rFonts w:ascii="Calibri Light" w:hAnsi="Calibri Light" w:cs="Calibri Light"/>
      <w:color w:val="000000" w:themeColor="text1"/>
      <w:sz w:val="22"/>
      <w:szCs w:val="22"/>
    </w:rPr>
  </w:style>
  <w:style w:type="character" w:styleId="Hyperlink">
    <w:name w:val="Hyperlink"/>
    <w:basedOn w:val="DefaultParagraphFont"/>
    <w:uiPriority w:val="99"/>
    <w:unhideWhenUsed/>
    <w:rsid w:val="007407FB"/>
    <w:rPr>
      <w:color w:val="4C7BB3" w:themeColor="hyperlink"/>
      <w:u w:val="single"/>
    </w:rPr>
  </w:style>
  <w:style w:type="character" w:styleId="UnresolvedMention">
    <w:name w:val="Unresolved Mention"/>
    <w:basedOn w:val="DefaultParagraphFont"/>
    <w:uiPriority w:val="99"/>
    <w:semiHidden/>
    <w:unhideWhenUsed/>
    <w:rsid w:val="007407FB"/>
    <w:rPr>
      <w:color w:val="605E5C"/>
      <w:shd w:val="clear" w:color="auto" w:fill="E1DFDD"/>
    </w:rPr>
  </w:style>
  <w:style w:type="character" w:styleId="PageNumber">
    <w:name w:val="page number"/>
    <w:basedOn w:val="DefaultParagraphFont"/>
    <w:uiPriority w:val="99"/>
    <w:semiHidden/>
    <w:unhideWhenUsed/>
    <w:rsid w:val="00355663"/>
  </w:style>
  <w:style w:type="paragraph" w:styleId="TOCHeading">
    <w:name w:val="TOC Heading"/>
    <w:basedOn w:val="Heading1"/>
    <w:next w:val="Normal"/>
    <w:uiPriority w:val="39"/>
    <w:unhideWhenUsed/>
    <w:rsid w:val="00F82663"/>
    <w:pPr>
      <w:spacing w:before="0" w:line="276" w:lineRule="auto"/>
      <w:outlineLvl w:val="9"/>
    </w:pPr>
    <w:rPr>
      <w:rFonts w:asciiTheme="minorHAnsi" w:eastAsiaTheme="minorHAnsi" w:hAnsiTheme="minorHAnsi" w:cstheme="minorBidi"/>
      <w:b w:val="0"/>
      <w:bCs w:val="0"/>
      <w:color w:val="042055" w:themeColor="text2"/>
      <w:sz w:val="48"/>
      <w:szCs w:val="48"/>
    </w:rPr>
  </w:style>
  <w:style w:type="paragraph" w:styleId="TOC1">
    <w:name w:val="toc 1"/>
    <w:next w:val="Normal"/>
    <w:autoRedefine/>
    <w:uiPriority w:val="39"/>
    <w:unhideWhenUsed/>
    <w:rsid w:val="00C33C9E"/>
    <w:pPr>
      <w:tabs>
        <w:tab w:val="left" w:pos="480"/>
        <w:tab w:val="right" w:leader="dot" w:pos="9010"/>
      </w:tabs>
      <w:spacing w:before="240"/>
    </w:pPr>
    <w:rPr>
      <w:rFonts w:cs="Times New Roman (Body CS)"/>
      <w:b/>
      <w:bCs/>
      <w:iCs/>
      <w:noProof/>
      <w:color w:val="1B3E9D" w:themeColor="accent1"/>
      <w:sz w:val="28"/>
      <w:szCs w:val="26"/>
    </w:rPr>
  </w:style>
  <w:style w:type="paragraph" w:styleId="TOC2">
    <w:name w:val="toc 2"/>
    <w:next w:val="Normal"/>
    <w:autoRedefine/>
    <w:uiPriority w:val="39"/>
    <w:unhideWhenUsed/>
    <w:rsid w:val="00516ED9"/>
    <w:pPr>
      <w:tabs>
        <w:tab w:val="left" w:pos="960"/>
        <w:tab w:val="right" w:leader="dot" w:pos="9010"/>
      </w:tabs>
      <w:spacing w:before="120"/>
      <w:ind w:left="200"/>
    </w:pPr>
    <w:rPr>
      <w:b/>
      <w:bCs/>
      <w:noProof/>
      <w:color w:val="1B3E9D" w:themeColor="accent1"/>
    </w:rPr>
  </w:style>
  <w:style w:type="paragraph" w:styleId="TOC3">
    <w:name w:val="toc 3"/>
    <w:basedOn w:val="Normal"/>
    <w:next w:val="Normal"/>
    <w:autoRedefine/>
    <w:uiPriority w:val="39"/>
    <w:unhideWhenUsed/>
    <w:rsid w:val="00FB02C8"/>
    <w:pPr>
      <w:tabs>
        <w:tab w:val="left" w:pos="1440"/>
        <w:tab w:val="right" w:leader="dot" w:pos="9010"/>
      </w:tabs>
      <w:spacing w:before="120"/>
      <w:ind w:left="400"/>
    </w:pPr>
    <w:rPr>
      <w:noProof/>
      <w:color w:val="1B3E9D" w:themeColor="accent1"/>
    </w:rPr>
  </w:style>
  <w:style w:type="paragraph" w:styleId="TOC4">
    <w:name w:val="toc 4"/>
    <w:basedOn w:val="Normal"/>
    <w:next w:val="Normal"/>
    <w:autoRedefine/>
    <w:uiPriority w:val="39"/>
    <w:semiHidden/>
    <w:unhideWhenUsed/>
    <w:rsid w:val="00C33C9E"/>
    <w:pPr>
      <w:ind w:left="600"/>
    </w:pPr>
    <w:rPr>
      <w14:textFill>
        <w14:solidFill>
          <w14:schemeClr w14:val="tx1">
            <w14:lumMod w14:val="65000"/>
            <w14:lumOff w14:val="35000"/>
            <w14:lumMod w14:val="85000"/>
            <w14:lumOff w14:val="15000"/>
          </w14:schemeClr>
        </w14:solidFill>
      </w14:textFill>
    </w:rPr>
  </w:style>
  <w:style w:type="paragraph" w:styleId="TOC5">
    <w:name w:val="toc 5"/>
    <w:basedOn w:val="Normal"/>
    <w:next w:val="Normal"/>
    <w:autoRedefine/>
    <w:uiPriority w:val="39"/>
    <w:semiHidden/>
    <w:unhideWhenUsed/>
    <w:rsid w:val="00C33C9E"/>
    <w:pPr>
      <w:ind w:left="800"/>
    </w:pPr>
    <w:rPr>
      <w14:textFill>
        <w14:solidFill>
          <w14:schemeClr w14:val="tx1">
            <w14:lumMod w14:val="65000"/>
            <w14:lumOff w14:val="35000"/>
            <w14:lumMod w14:val="85000"/>
            <w14:lumOff w14:val="15000"/>
          </w14:schemeClr>
        </w14:solidFill>
      </w14:textFill>
    </w:rPr>
  </w:style>
  <w:style w:type="paragraph" w:styleId="TOC6">
    <w:name w:val="toc 6"/>
    <w:basedOn w:val="Normal"/>
    <w:next w:val="Normal"/>
    <w:autoRedefine/>
    <w:uiPriority w:val="39"/>
    <w:semiHidden/>
    <w:unhideWhenUsed/>
    <w:rsid w:val="00C33C9E"/>
    <w:pPr>
      <w:ind w:left="1000"/>
    </w:pPr>
    <w:rPr>
      <w14:textFill>
        <w14:solidFill>
          <w14:schemeClr w14:val="tx1">
            <w14:lumMod w14:val="65000"/>
            <w14:lumOff w14:val="35000"/>
            <w14:lumMod w14:val="85000"/>
            <w14:lumOff w14:val="15000"/>
          </w14:schemeClr>
        </w14:solidFill>
      </w14:textFill>
    </w:rPr>
  </w:style>
  <w:style w:type="paragraph" w:styleId="TOC7">
    <w:name w:val="toc 7"/>
    <w:basedOn w:val="Normal"/>
    <w:next w:val="Normal"/>
    <w:autoRedefine/>
    <w:uiPriority w:val="39"/>
    <w:semiHidden/>
    <w:unhideWhenUsed/>
    <w:rsid w:val="00C33C9E"/>
    <w:pPr>
      <w:ind w:left="1200"/>
    </w:pPr>
    <w:rPr>
      <w14:textFill>
        <w14:solidFill>
          <w14:schemeClr w14:val="tx1">
            <w14:lumMod w14:val="65000"/>
            <w14:lumOff w14:val="35000"/>
            <w14:lumMod w14:val="85000"/>
            <w14:lumOff w14:val="15000"/>
          </w14:schemeClr>
        </w14:solidFill>
      </w14:textFill>
    </w:rPr>
  </w:style>
  <w:style w:type="paragraph" w:styleId="TOC8">
    <w:name w:val="toc 8"/>
    <w:basedOn w:val="Normal"/>
    <w:next w:val="Normal"/>
    <w:autoRedefine/>
    <w:uiPriority w:val="39"/>
    <w:semiHidden/>
    <w:unhideWhenUsed/>
    <w:rsid w:val="00C33C9E"/>
    <w:pPr>
      <w:ind w:left="1400"/>
    </w:pPr>
    <w:rPr>
      <w14:textFill>
        <w14:solidFill>
          <w14:schemeClr w14:val="tx1">
            <w14:lumMod w14:val="65000"/>
            <w14:lumOff w14:val="35000"/>
            <w14:lumMod w14:val="85000"/>
            <w14:lumOff w14:val="15000"/>
          </w14:schemeClr>
        </w14:solidFill>
      </w14:textFill>
    </w:rPr>
  </w:style>
  <w:style w:type="paragraph" w:styleId="TOC9">
    <w:name w:val="toc 9"/>
    <w:basedOn w:val="Normal"/>
    <w:next w:val="Normal"/>
    <w:autoRedefine/>
    <w:uiPriority w:val="39"/>
    <w:semiHidden/>
    <w:unhideWhenUsed/>
    <w:rsid w:val="00C33C9E"/>
    <w:pPr>
      <w:ind w:left="1600"/>
    </w:pPr>
    <w:rPr>
      <w14:textFill>
        <w14:solidFill>
          <w14:schemeClr w14:val="tx1">
            <w14:lumMod w14:val="65000"/>
            <w14:lumOff w14:val="35000"/>
            <w14:lumMod w14:val="85000"/>
            <w14:lumOff w14:val="15000"/>
          </w14:schemeClr>
        </w14:solidFill>
      </w14:textFill>
    </w:rPr>
  </w:style>
  <w:style w:type="table" w:styleId="TableGrid">
    <w:name w:val="Table Grid"/>
    <w:aliases w:val="TE"/>
    <w:basedOn w:val="TableNormal"/>
    <w:uiPriority w:val="39"/>
    <w:rsid w:val="0088120A"/>
    <w:rPr>
      <w:sz w:val="20"/>
    </w:rPr>
    <w:tblPr>
      <w:tblStyleRowBandSize w:val="1"/>
      <w:tblStyleColBandSize w:val="1"/>
      <w:tblBorders>
        <w:top w:val="single" w:sz="4" w:space="0" w:color="042055" w:themeColor="text2"/>
        <w:left w:val="single" w:sz="4" w:space="0" w:color="042055" w:themeColor="text2"/>
        <w:bottom w:val="single" w:sz="4" w:space="0" w:color="042055" w:themeColor="text2"/>
        <w:right w:val="single" w:sz="4" w:space="0" w:color="042055" w:themeColor="text2"/>
        <w:insideH w:val="single" w:sz="4" w:space="0" w:color="042055" w:themeColor="text2"/>
        <w:insideV w:val="single" w:sz="4" w:space="0" w:color="042055" w:themeColor="text2"/>
      </w:tblBorders>
      <w:tblCellMar>
        <w:top w:w="85" w:type="dxa"/>
        <w:left w:w="85" w:type="dxa"/>
        <w:bottom w:w="85" w:type="dxa"/>
        <w:right w:w="85" w:type="dxa"/>
      </w:tblCellMar>
    </w:tblPr>
    <w:tblStylePr w:type="firstRow">
      <w:pPr>
        <w:wordWrap/>
        <w:spacing w:line="240" w:lineRule="auto"/>
        <w:jc w:val="center"/>
      </w:pPr>
      <w:rPr>
        <w:rFonts w:ascii="Arial" w:hAnsi="Arial"/>
        <w:b/>
        <w:i w:val="0"/>
        <w:color w:val="FFFFFF" w:themeColor="background1"/>
        <w:sz w:val="20"/>
      </w:rPr>
      <w:tblPr/>
      <w:tcPr>
        <w:shd w:val="clear" w:color="auto" w:fill="042055" w:themeFill="text2"/>
      </w:tcPr>
    </w:tblStylePr>
    <w:tblStylePr w:type="lastRow">
      <w:rPr>
        <w:b/>
        <w:color w:val="FFFFFF" w:themeColor="background1"/>
      </w:rPr>
      <w:tblPr/>
      <w:tcPr>
        <w:shd w:val="clear" w:color="auto" w:fill="EBC657" w:themeFill="accent2"/>
      </w:tcPr>
    </w:tblStylePr>
    <w:tblStylePr w:type="firstCol">
      <w:tblPr/>
      <w:tcPr>
        <w:shd w:val="clear" w:color="auto" w:fill="F3F6F9" w:themeFill="accent4" w:themeFillTint="33"/>
      </w:tcPr>
    </w:tblStylePr>
    <w:tblStylePr w:type="lastCol">
      <w:tblPr/>
      <w:tcPr>
        <w:shd w:val="clear" w:color="auto" w:fill="F3F6F9" w:themeFill="accent4" w:themeFillTint="33"/>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FFFFF" w:themeFill="background1"/>
      </w:tcPr>
    </w:tblStylePr>
    <w:tblStylePr w:type="nwCell">
      <w:pPr>
        <w:wordWrap/>
        <w:spacing w:line="240" w:lineRule="auto"/>
        <w:jc w:val="left"/>
      </w:pPr>
    </w:tblStylePr>
  </w:style>
  <w:style w:type="paragraph" w:styleId="ListBullet2">
    <w:name w:val="List Bullet 2"/>
    <w:basedOn w:val="ListParagraph"/>
    <w:uiPriority w:val="99"/>
    <w:unhideWhenUsed/>
    <w:rsid w:val="000022CB"/>
    <w:pPr>
      <w:numPr>
        <w:ilvl w:val="1"/>
      </w:numPr>
      <w:tabs>
        <w:tab w:val="num" w:pos="360"/>
      </w:tabs>
      <w:spacing w:before="0"/>
      <w:ind w:left="567" w:hanging="283"/>
    </w:pPr>
  </w:style>
  <w:style w:type="paragraph" w:styleId="ListBullet3">
    <w:name w:val="List Bullet 3"/>
    <w:basedOn w:val="ListBullet2"/>
    <w:uiPriority w:val="99"/>
    <w:unhideWhenUsed/>
    <w:rsid w:val="000022CB"/>
    <w:pPr>
      <w:numPr>
        <w:ilvl w:val="2"/>
      </w:numPr>
      <w:tabs>
        <w:tab w:val="num" w:pos="360"/>
      </w:tabs>
      <w:ind w:left="567"/>
    </w:pPr>
  </w:style>
  <w:style w:type="paragraph" w:styleId="ListBullet">
    <w:name w:val="List Bullet"/>
    <w:basedOn w:val="Normal"/>
    <w:uiPriority w:val="99"/>
    <w:unhideWhenUsed/>
    <w:rsid w:val="000022CB"/>
    <w:pPr>
      <w:numPr>
        <w:numId w:val="8"/>
      </w:numPr>
      <w:contextualSpacing/>
    </w:pPr>
  </w:style>
  <w:style w:type="paragraph" w:styleId="ListBullet4">
    <w:name w:val="List Bullet 4"/>
    <w:basedOn w:val="ListBullet3"/>
    <w:uiPriority w:val="99"/>
    <w:unhideWhenUsed/>
    <w:rsid w:val="000022CB"/>
    <w:pPr>
      <w:numPr>
        <w:ilvl w:val="3"/>
      </w:numPr>
      <w:tabs>
        <w:tab w:val="num" w:pos="360"/>
      </w:tabs>
      <w:ind w:left="567" w:hanging="283"/>
    </w:pPr>
  </w:style>
  <w:style w:type="paragraph" w:styleId="ListBullet5">
    <w:name w:val="List Bullet 5"/>
    <w:basedOn w:val="Normal"/>
    <w:uiPriority w:val="99"/>
    <w:unhideWhenUsed/>
    <w:rsid w:val="000022CB"/>
    <w:pPr>
      <w:numPr>
        <w:numId w:val="10"/>
      </w:numPr>
      <w:ind w:left="1702" w:hanging="284"/>
      <w:contextualSpacing/>
    </w:pPr>
  </w:style>
  <w:style w:type="paragraph" w:customStyle="1" w:styleId="Introduction">
    <w:name w:val="Introduction"/>
    <w:next w:val="Normal"/>
    <w:qFormat/>
    <w:rsid w:val="00304FBC"/>
    <w:pPr>
      <w:spacing w:before="120" w:after="120"/>
    </w:pPr>
    <w:rPr>
      <w:rFonts w:ascii="Calibri" w:hAnsi="Calibri" w:cs="Calibri"/>
      <w:color w:val="1B3E9D" w:themeColor="accent1"/>
    </w:rPr>
  </w:style>
  <w:style w:type="table" w:styleId="GridTable3">
    <w:name w:val="Grid Table 3"/>
    <w:basedOn w:val="TableNormal"/>
    <w:uiPriority w:val="48"/>
    <w:rsid w:val="00F21C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2">
    <w:name w:val="Grid Table 2 Accent 2"/>
    <w:basedOn w:val="TableNormal"/>
    <w:uiPriority w:val="47"/>
    <w:rsid w:val="00F21C7C"/>
    <w:tblPr>
      <w:tblStyleRowBandSize w:val="1"/>
      <w:tblStyleColBandSize w:val="1"/>
      <w:tblBorders>
        <w:top w:val="single" w:sz="2" w:space="0" w:color="F3DC9A" w:themeColor="accent2" w:themeTint="99"/>
        <w:bottom w:val="single" w:sz="2" w:space="0" w:color="F3DC9A" w:themeColor="accent2" w:themeTint="99"/>
        <w:insideH w:val="single" w:sz="2" w:space="0" w:color="F3DC9A" w:themeColor="accent2" w:themeTint="99"/>
        <w:insideV w:val="single" w:sz="2" w:space="0" w:color="F3DC9A" w:themeColor="accent2" w:themeTint="99"/>
      </w:tblBorders>
    </w:tblPr>
    <w:tblStylePr w:type="firstRow">
      <w:rPr>
        <w:b/>
        <w:bCs/>
      </w:rPr>
      <w:tblPr/>
      <w:tcPr>
        <w:tcBorders>
          <w:top w:val="nil"/>
          <w:bottom w:val="single" w:sz="12" w:space="0" w:color="F3DC9A" w:themeColor="accent2" w:themeTint="99"/>
          <w:insideH w:val="nil"/>
          <w:insideV w:val="nil"/>
        </w:tcBorders>
        <w:shd w:val="clear" w:color="auto" w:fill="FFFFFF" w:themeFill="background1"/>
      </w:tcPr>
    </w:tblStylePr>
    <w:tblStylePr w:type="lastRow">
      <w:rPr>
        <w:b/>
        <w:bCs/>
      </w:rPr>
      <w:tblPr/>
      <w:tcPr>
        <w:tcBorders>
          <w:top w:val="double" w:sz="2" w:space="0" w:color="F3DC9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D" w:themeFill="accent2" w:themeFillTint="33"/>
      </w:tcPr>
    </w:tblStylePr>
    <w:tblStylePr w:type="band1Horz">
      <w:tblPr/>
      <w:tcPr>
        <w:shd w:val="clear" w:color="auto" w:fill="FBF3DD" w:themeFill="accent2" w:themeFillTint="33"/>
      </w:tcPr>
    </w:tblStylePr>
  </w:style>
  <w:style w:type="table" w:styleId="GridTable7Colorful-Accent6">
    <w:name w:val="Grid Table 7 Colorful Accent 6"/>
    <w:basedOn w:val="TableNormal"/>
    <w:uiPriority w:val="52"/>
    <w:rsid w:val="00F21C7C"/>
    <w:rPr>
      <w:color w:val="09173C" w:themeColor="accent6" w:themeShade="BF"/>
    </w:rPr>
    <w:tblPr>
      <w:tblStyleRowBandSize w:val="1"/>
      <w:tblStyleColBandSize w:val="1"/>
      <w:tblBorders>
        <w:top w:val="single" w:sz="4" w:space="0" w:color="245ADE" w:themeColor="accent6" w:themeTint="99"/>
        <w:left w:val="single" w:sz="4" w:space="0" w:color="245ADE" w:themeColor="accent6" w:themeTint="99"/>
        <w:bottom w:val="single" w:sz="4" w:space="0" w:color="245ADE" w:themeColor="accent6" w:themeTint="99"/>
        <w:right w:val="single" w:sz="4" w:space="0" w:color="245ADE" w:themeColor="accent6" w:themeTint="99"/>
        <w:insideH w:val="single" w:sz="4" w:space="0" w:color="245ADE" w:themeColor="accent6" w:themeTint="99"/>
        <w:insideV w:val="single" w:sz="4" w:space="0" w:color="245A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C7F4" w:themeFill="accent6" w:themeFillTint="33"/>
      </w:tcPr>
    </w:tblStylePr>
    <w:tblStylePr w:type="band1Horz">
      <w:tblPr/>
      <w:tcPr>
        <w:shd w:val="clear" w:color="auto" w:fill="B6C7F4" w:themeFill="accent6" w:themeFillTint="33"/>
      </w:tcPr>
    </w:tblStylePr>
    <w:tblStylePr w:type="neCell">
      <w:tblPr/>
      <w:tcPr>
        <w:tcBorders>
          <w:bottom w:val="single" w:sz="4" w:space="0" w:color="245ADE" w:themeColor="accent6" w:themeTint="99"/>
        </w:tcBorders>
      </w:tcPr>
    </w:tblStylePr>
    <w:tblStylePr w:type="nwCell">
      <w:tblPr/>
      <w:tcPr>
        <w:tcBorders>
          <w:bottom w:val="single" w:sz="4" w:space="0" w:color="245ADE" w:themeColor="accent6" w:themeTint="99"/>
        </w:tcBorders>
      </w:tcPr>
    </w:tblStylePr>
    <w:tblStylePr w:type="seCell">
      <w:tblPr/>
      <w:tcPr>
        <w:tcBorders>
          <w:top w:val="single" w:sz="4" w:space="0" w:color="245ADE" w:themeColor="accent6" w:themeTint="99"/>
        </w:tcBorders>
      </w:tcPr>
    </w:tblStylePr>
    <w:tblStylePr w:type="swCell">
      <w:tblPr/>
      <w:tcPr>
        <w:tcBorders>
          <w:top w:val="single" w:sz="4" w:space="0" w:color="245ADE" w:themeColor="accent6" w:themeTint="99"/>
        </w:tcBorders>
      </w:tcPr>
    </w:tblStylePr>
  </w:style>
  <w:style w:type="table" w:styleId="GridTable5Dark-Accent6">
    <w:name w:val="Grid Table 5 Dark Accent 6"/>
    <w:basedOn w:val="TableNormal"/>
    <w:uiPriority w:val="50"/>
    <w:rsid w:val="00F21C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C7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05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05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05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051" w:themeFill="accent6"/>
      </w:tcPr>
    </w:tblStylePr>
    <w:tblStylePr w:type="band1Vert">
      <w:tblPr/>
      <w:tcPr>
        <w:shd w:val="clear" w:color="auto" w:fill="6D90E9" w:themeFill="accent6" w:themeFillTint="66"/>
      </w:tcPr>
    </w:tblStylePr>
    <w:tblStylePr w:type="band1Horz">
      <w:tblPr/>
      <w:tcPr>
        <w:shd w:val="clear" w:color="auto" w:fill="6D90E9" w:themeFill="accent6" w:themeFillTint="66"/>
      </w:tcPr>
    </w:tblStylePr>
  </w:style>
  <w:style w:type="table" w:styleId="ListTable3-Accent1">
    <w:name w:val="List Table 3 Accent 1"/>
    <w:basedOn w:val="TableNormal"/>
    <w:uiPriority w:val="48"/>
    <w:rsid w:val="004D35ED"/>
    <w:tblPr>
      <w:tblStyleRowBandSize w:val="1"/>
      <w:tblStyleColBandSize w:val="1"/>
      <w:tblBorders>
        <w:top w:val="single" w:sz="4" w:space="0" w:color="1B3E9D" w:themeColor="accent1"/>
        <w:left w:val="single" w:sz="4" w:space="0" w:color="1B3E9D" w:themeColor="accent1"/>
        <w:bottom w:val="single" w:sz="4" w:space="0" w:color="1B3E9D" w:themeColor="accent1"/>
        <w:right w:val="single" w:sz="4" w:space="0" w:color="1B3E9D" w:themeColor="accent1"/>
      </w:tblBorders>
    </w:tblPr>
    <w:tblStylePr w:type="firstRow">
      <w:rPr>
        <w:b/>
        <w:bCs/>
        <w:color w:val="FFFFFF" w:themeColor="background1"/>
      </w:rPr>
      <w:tblPr/>
      <w:tcPr>
        <w:shd w:val="clear" w:color="auto" w:fill="1B3E9D" w:themeFill="accent1"/>
      </w:tcPr>
    </w:tblStylePr>
    <w:tblStylePr w:type="lastRow">
      <w:rPr>
        <w:b/>
        <w:bCs/>
      </w:rPr>
      <w:tblPr/>
      <w:tcPr>
        <w:tcBorders>
          <w:top w:val="double" w:sz="4" w:space="0" w:color="1B3E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3E9D" w:themeColor="accent1"/>
          <w:right w:val="single" w:sz="4" w:space="0" w:color="1B3E9D" w:themeColor="accent1"/>
        </w:tcBorders>
      </w:tcPr>
    </w:tblStylePr>
    <w:tblStylePr w:type="band1Horz">
      <w:tblPr/>
      <w:tcPr>
        <w:tcBorders>
          <w:top w:val="single" w:sz="4" w:space="0" w:color="1B3E9D" w:themeColor="accent1"/>
          <w:bottom w:val="single" w:sz="4" w:space="0" w:color="1B3E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3E9D" w:themeColor="accent1"/>
          <w:left w:val="nil"/>
        </w:tcBorders>
      </w:tcPr>
    </w:tblStylePr>
    <w:tblStylePr w:type="swCell">
      <w:tblPr/>
      <w:tcPr>
        <w:tcBorders>
          <w:top w:val="double" w:sz="4" w:space="0" w:color="1B3E9D" w:themeColor="accent1"/>
          <w:right w:val="nil"/>
        </w:tcBorders>
      </w:tcPr>
    </w:tblStylePr>
  </w:style>
  <w:style w:type="table" w:styleId="ListTable7Colorful-Accent6">
    <w:name w:val="List Table 7 Colorful Accent 6"/>
    <w:basedOn w:val="TableNormal"/>
    <w:uiPriority w:val="52"/>
    <w:rsid w:val="004D35ED"/>
    <w:rPr>
      <w:color w:val="0917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05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05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05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051" w:themeColor="accent6"/>
        </w:tcBorders>
        <w:shd w:val="clear" w:color="auto" w:fill="FFFFFF" w:themeFill="background1"/>
      </w:tcPr>
    </w:tblStylePr>
    <w:tblStylePr w:type="band1Vert">
      <w:tblPr/>
      <w:tcPr>
        <w:shd w:val="clear" w:color="auto" w:fill="B6C7F4" w:themeFill="accent6" w:themeFillTint="33"/>
      </w:tcPr>
    </w:tblStylePr>
    <w:tblStylePr w:type="band1Horz">
      <w:tblPr/>
      <w:tcPr>
        <w:shd w:val="clear" w:color="auto" w:fill="B6C7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umberingParagraph">
    <w:name w:val="Numbering Paragraph"/>
    <w:basedOn w:val="ListParagraph"/>
    <w:link w:val="NumberingParagraphChar"/>
    <w:rsid w:val="008A2D25"/>
    <w:pPr>
      <w:numPr>
        <w:numId w:val="11"/>
      </w:numPr>
    </w:pPr>
  </w:style>
  <w:style w:type="character" w:customStyle="1" w:styleId="ListParagraphChar">
    <w:name w:val="List Paragraph Char"/>
    <w:basedOn w:val="DefaultParagraphFont"/>
    <w:link w:val="ListParagraph"/>
    <w:uiPriority w:val="34"/>
    <w:rsid w:val="008A2D25"/>
    <w:rPr>
      <w:rFonts w:ascii="Calibri Light" w:hAnsi="Calibri Light" w:cs="Calibri Light"/>
      <w:color w:val="000000" w:themeColor="text1"/>
      <w:sz w:val="22"/>
      <w:szCs w:val="22"/>
    </w:rPr>
  </w:style>
  <w:style w:type="character" w:customStyle="1" w:styleId="NumberingParagraphChar">
    <w:name w:val="Numbering Paragraph Char"/>
    <w:basedOn w:val="ListParagraphChar"/>
    <w:link w:val="NumberingParagraph"/>
    <w:rsid w:val="008A2D25"/>
    <w:rPr>
      <w:rFonts w:ascii="Calibri Light" w:hAnsi="Calibri Light" w:cs="Calibri Light"/>
      <w:color w:val="000000" w:themeColor="text1"/>
      <w:sz w:val="22"/>
      <w:szCs w:val="22"/>
    </w:rPr>
  </w:style>
  <w:style w:type="character" w:styleId="CommentReference">
    <w:name w:val="annotation reference"/>
    <w:basedOn w:val="DefaultParagraphFont"/>
    <w:uiPriority w:val="99"/>
    <w:semiHidden/>
    <w:unhideWhenUsed/>
    <w:rsid w:val="0048035A"/>
    <w:rPr>
      <w:sz w:val="16"/>
      <w:szCs w:val="16"/>
    </w:rPr>
  </w:style>
  <w:style w:type="paragraph" w:styleId="CommentText">
    <w:name w:val="annotation text"/>
    <w:basedOn w:val="Normal"/>
    <w:link w:val="CommentTextChar"/>
    <w:uiPriority w:val="99"/>
    <w:unhideWhenUsed/>
    <w:rsid w:val="0048035A"/>
    <w:rPr>
      <w:sz w:val="20"/>
      <w:szCs w:val="20"/>
    </w:rPr>
  </w:style>
  <w:style w:type="character" w:customStyle="1" w:styleId="CommentTextChar">
    <w:name w:val="Comment Text Char"/>
    <w:basedOn w:val="DefaultParagraphFont"/>
    <w:link w:val="CommentText"/>
    <w:uiPriority w:val="99"/>
    <w:rsid w:val="0048035A"/>
    <w:rPr>
      <w:rFonts w:ascii="Calibri Light" w:hAnsi="Calibri Light" w:cs="Calibri Ligh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8035A"/>
    <w:rPr>
      <w:b/>
      <w:bCs/>
    </w:rPr>
  </w:style>
  <w:style w:type="character" w:customStyle="1" w:styleId="CommentSubjectChar">
    <w:name w:val="Comment Subject Char"/>
    <w:basedOn w:val="CommentTextChar"/>
    <w:link w:val="CommentSubject"/>
    <w:uiPriority w:val="99"/>
    <w:semiHidden/>
    <w:rsid w:val="0048035A"/>
    <w:rPr>
      <w:rFonts w:ascii="Calibri Light" w:hAnsi="Calibri Light" w:cs="Calibri Light"/>
      <w:b/>
      <w:bCs/>
      <w:color w:val="000000" w:themeColor="text1"/>
      <w:sz w:val="20"/>
      <w:szCs w:val="20"/>
    </w:rPr>
  </w:style>
  <w:style w:type="paragraph" w:styleId="NormalWeb">
    <w:name w:val="Normal (Web)"/>
    <w:basedOn w:val="Normal"/>
    <w:uiPriority w:val="99"/>
    <w:semiHidden/>
    <w:unhideWhenUsed/>
    <w:rsid w:val="005A2977"/>
    <w:rPr>
      <w:rFonts w:ascii="Times New Roman" w:hAnsi="Times New Roman" w:cs="Times New Roman"/>
      <w:sz w:val="24"/>
      <w:szCs w:val="24"/>
    </w:rPr>
  </w:style>
  <w:style w:type="paragraph" w:styleId="Revision">
    <w:name w:val="Revision"/>
    <w:hidden/>
    <w:uiPriority w:val="99"/>
    <w:semiHidden/>
    <w:rsid w:val="0052110F"/>
    <w:rPr>
      <w:rFonts w:ascii="Calibri Light" w:hAnsi="Calibri Light" w:cs="Calibri Light"/>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760">
      <w:bodyDiv w:val="1"/>
      <w:marLeft w:val="0"/>
      <w:marRight w:val="0"/>
      <w:marTop w:val="0"/>
      <w:marBottom w:val="0"/>
      <w:divBdr>
        <w:top w:val="none" w:sz="0" w:space="0" w:color="auto"/>
        <w:left w:val="none" w:sz="0" w:space="0" w:color="auto"/>
        <w:bottom w:val="none" w:sz="0" w:space="0" w:color="auto"/>
        <w:right w:val="none" w:sz="0" w:space="0" w:color="auto"/>
      </w:divBdr>
    </w:div>
    <w:div w:id="422453847">
      <w:bodyDiv w:val="1"/>
      <w:marLeft w:val="0"/>
      <w:marRight w:val="0"/>
      <w:marTop w:val="0"/>
      <w:marBottom w:val="0"/>
      <w:divBdr>
        <w:top w:val="none" w:sz="0" w:space="0" w:color="auto"/>
        <w:left w:val="none" w:sz="0" w:space="0" w:color="auto"/>
        <w:bottom w:val="none" w:sz="0" w:space="0" w:color="auto"/>
        <w:right w:val="none" w:sz="0" w:space="0" w:color="auto"/>
      </w:divBdr>
    </w:div>
    <w:div w:id="592905005">
      <w:bodyDiv w:val="1"/>
      <w:marLeft w:val="0"/>
      <w:marRight w:val="0"/>
      <w:marTop w:val="0"/>
      <w:marBottom w:val="0"/>
      <w:divBdr>
        <w:top w:val="none" w:sz="0" w:space="0" w:color="auto"/>
        <w:left w:val="none" w:sz="0" w:space="0" w:color="auto"/>
        <w:bottom w:val="none" w:sz="0" w:space="0" w:color="auto"/>
        <w:right w:val="none" w:sz="0" w:space="0" w:color="auto"/>
      </w:divBdr>
    </w:div>
    <w:div w:id="734744253">
      <w:bodyDiv w:val="1"/>
      <w:marLeft w:val="0"/>
      <w:marRight w:val="0"/>
      <w:marTop w:val="0"/>
      <w:marBottom w:val="0"/>
      <w:divBdr>
        <w:top w:val="none" w:sz="0" w:space="0" w:color="auto"/>
        <w:left w:val="none" w:sz="0" w:space="0" w:color="auto"/>
        <w:bottom w:val="none" w:sz="0" w:space="0" w:color="auto"/>
        <w:right w:val="none" w:sz="0" w:space="0" w:color="auto"/>
      </w:divBdr>
    </w:div>
    <w:div w:id="899249892">
      <w:bodyDiv w:val="1"/>
      <w:marLeft w:val="0"/>
      <w:marRight w:val="0"/>
      <w:marTop w:val="0"/>
      <w:marBottom w:val="0"/>
      <w:divBdr>
        <w:top w:val="none" w:sz="0" w:space="0" w:color="auto"/>
        <w:left w:val="none" w:sz="0" w:space="0" w:color="auto"/>
        <w:bottom w:val="none" w:sz="0" w:space="0" w:color="auto"/>
        <w:right w:val="none" w:sz="0" w:space="0" w:color="auto"/>
      </w:divBdr>
    </w:div>
    <w:div w:id="966549095">
      <w:bodyDiv w:val="1"/>
      <w:marLeft w:val="0"/>
      <w:marRight w:val="0"/>
      <w:marTop w:val="0"/>
      <w:marBottom w:val="0"/>
      <w:divBdr>
        <w:top w:val="none" w:sz="0" w:space="0" w:color="auto"/>
        <w:left w:val="none" w:sz="0" w:space="0" w:color="auto"/>
        <w:bottom w:val="none" w:sz="0" w:space="0" w:color="auto"/>
        <w:right w:val="none" w:sz="0" w:space="0" w:color="auto"/>
      </w:divBdr>
    </w:div>
    <w:div w:id="975644121">
      <w:bodyDiv w:val="1"/>
      <w:marLeft w:val="0"/>
      <w:marRight w:val="0"/>
      <w:marTop w:val="0"/>
      <w:marBottom w:val="0"/>
      <w:divBdr>
        <w:top w:val="none" w:sz="0" w:space="0" w:color="auto"/>
        <w:left w:val="none" w:sz="0" w:space="0" w:color="auto"/>
        <w:bottom w:val="none" w:sz="0" w:space="0" w:color="auto"/>
        <w:right w:val="none" w:sz="0" w:space="0" w:color="auto"/>
      </w:divBdr>
    </w:div>
    <w:div w:id="1046218911">
      <w:bodyDiv w:val="1"/>
      <w:marLeft w:val="0"/>
      <w:marRight w:val="0"/>
      <w:marTop w:val="0"/>
      <w:marBottom w:val="0"/>
      <w:divBdr>
        <w:top w:val="none" w:sz="0" w:space="0" w:color="auto"/>
        <w:left w:val="none" w:sz="0" w:space="0" w:color="auto"/>
        <w:bottom w:val="none" w:sz="0" w:space="0" w:color="auto"/>
        <w:right w:val="none" w:sz="0" w:space="0" w:color="auto"/>
      </w:divBdr>
    </w:div>
    <w:div w:id="1065378422">
      <w:bodyDiv w:val="1"/>
      <w:marLeft w:val="0"/>
      <w:marRight w:val="0"/>
      <w:marTop w:val="0"/>
      <w:marBottom w:val="0"/>
      <w:divBdr>
        <w:top w:val="none" w:sz="0" w:space="0" w:color="auto"/>
        <w:left w:val="none" w:sz="0" w:space="0" w:color="auto"/>
        <w:bottom w:val="none" w:sz="0" w:space="0" w:color="auto"/>
        <w:right w:val="none" w:sz="0" w:space="0" w:color="auto"/>
      </w:divBdr>
    </w:div>
    <w:div w:id="1329551737">
      <w:bodyDiv w:val="1"/>
      <w:marLeft w:val="0"/>
      <w:marRight w:val="0"/>
      <w:marTop w:val="0"/>
      <w:marBottom w:val="0"/>
      <w:divBdr>
        <w:top w:val="none" w:sz="0" w:space="0" w:color="auto"/>
        <w:left w:val="none" w:sz="0" w:space="0" w:color="auto"/>
        <w:bottom w:val="none" w:sz="0" w:space="0" w:color="auto"/>
        <w:right w:val="none" w:sz="0" w:space="0" w:color="auto"/>
      </w:divBdr>
    </w:div>
    <w:div w:id="1489445838">
      <w:bodyDiv w:val="1"/>
      <w:marLeft w:val="0"/>
      <w:marRight w:val="0"/>
      <w:marTop w:val="0"/>
      <w:marBottom w:val="0"/>
      <w:divBdr>
        <w:top w:val="none" w:sz="0" w:space="0" w:color="auto"/>
        <w:left w:val="none" w:sz="0" w:space="0" w:color="auto"/>
        <w:bottom w:val="none" w:sz="0" w:space="0" w:color="auto"/>
        <w:right w:val="none" w:sz="0" w:space="0" w:color="auto"/>
      </w:divBdr>
    </w:div>
    <w:div w:id="1502352817">
      <w:bodyDiv w:val="1"/>
      <w:marLeft w:val="0"/>
      <w:marRight w:val="0"/>
      <w:marTop w:val="0"/>
      <w:marBottom w:val="0"/>
      <w:divBdr>
        <w:top w:val="none" w:sz="0" w:space="0" w:color="auto"/>
        <w:left w:val="none" w:sz="0" w:space="0" w:color="auto"/>
        <w:bottom w:val="none" w:sz="0" w:space="0" w:color="auto"/>
        <w:right w:val="none" w:sz="0" w:space="0" w:color="auto"/>
      </w:divBdr>
    </w:div>
    <w:div w:id="1576670663">
      <w:bodyDiv w:val="1"/>
      <w:marLeft w:val="0"/>
      <w:marRight w:val="0"/>
      <w:marTop w:val="0"/>
      <w:marBottom w:val="0"/>
      <w:divBdr>
        <w:top w:val="none" w:sz="0" w:space="0" w:color="auto"/>
        <w:left w:val="none" w:sz="0" w:space="0" w:color="auto"/>
        <w:bottom w:val="none" w:sz="0" w:space="0" w:color="auto"/>
        <w:right w:val="none" w:sz="0" w:space="0" w:color="auto"/>
      </w:divBdr>
    </w:div>
    <w:div w:id="1791852440">
      <w:bodyDiv w:val="1"/>
      <w:marLeft w:val="0"/>
      <w:marRight w:val="0"/>
      <w:marTop w:val="0"/>
      <w:marBottom w:val="0"/>
      <w:divBdr>
        <w:top w:val="none" w:sz="0" w:space="0" w:color="auto"/>
        <w:left w:val="none" w:sz="0" w:space="0" w:color="auto"/>
        <w:bottom w:val="none" w:sz="0" w:space="0" w:color="auto"/>
        <w:right w:val="none" w:sz="0" w:space="0" w:color="auto"/>
      </w:divBdr>
    </w:div>
    <w:div w:id="1822429072">
      <w:bodyDiv w:val="1"/>
      <w:marLeft w:val="0"/>
      <w:marRight w:val="0"/>
      <w:marTop w:val="0"/>
      <w:marBottom w:val="0"/>
      <w:divBdr>
        <w:top w:val="none" w:sz="0" w:space="0" w:color="auto"/>
        <w:left w:val="none" w:sz="0" w:space="0" w:color="auto"/>
        <w:bottom w:val="none" w:sz="0" w:space="0" w:color="auto"/>
        <w:right w:val="none" w:sz="0" w:space="0" w:color="auto"/>
      </w:divBdr>
    </w:div>
    <w:div w:id="2050062552">
      <w:bodyDiv w:val="1"/>
      <w:marLeft w:val="0"/>
      <w:marRight w:val="0"/>
      <w:marTop w:val="0"/>
      <w:marBottom w:val="0"/>
      <w:divBdr>
        <w:top w:val="none" w:sz="0" w:space="0" w:color="auto"/>
        <w:left w:val="none" w:sz="0" w:space="0" w:color="auto"/>
        <w:bottom w:val="none" w:sz="0" w:space="0" w:color="auto"/>
        <w:right w:val="none" w:sz="0" w:space="0" w:color="auto"/>
      </w:divBdr>
    </w:div>
    <w:div w:id="21436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sv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tromlo_2024">
  <a:themeElements>
    <a:clrScheme name="ACT Audit">
      <a:dk1>
        <a:srgbClr val="000000"/>
      </a:dk1>
      <a:lt1>
        <a:srgbClr val="FFFFFF"/>
      </a:lt1>
      <a:dk2>
        <a:srgbClr val="042055"/>
      </a:dk2>
      <a:lt2>
        <a:srgbClr val="E8E8E8"/>
      </a:lt2>
      <a:accent1>
        <a:srgbClr val="1B3E9D"/>
      </a:accent1>
      <a:accent2>
        <a:srgbClr val="EBC657"/>
      </a:accent2>
      <a:accent3>
        <a:srgbClr val="C97C00"/>
      </a:accent3>
      <a:accent4>
        <a:srgbClr val="C7D6E5"/>
      </a:accent4>
      <a:accent5>
        <a:srgbClr val="6186C1"/>
      </a:accent5>
      <a:accent6>
        <a:srgbClr val="0C2051"/>
      </a:accent6>
      <a:hlink>
        <a:srgbClr val="4C7BB3"/>
      </a:hlink>
      <a:folHlink>
        <a:srgbClr val="7D7D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tromlo_2024" id="{EBA48245-E4F8-8E44-9141-0E5D3EFF6BD3}" vid="{5548FA24-B293-5D47-9B7E-D36B96F1F286}"/>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2026-06-05T03:44:00Z</dcterms:created>
  <dcterms:modified xsi:type="dcterms:W3CDTF">2026-06-05T03:44:00Z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2026-06-05T03:43:49Z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74f60b28-6bad-444a-9772-069da5626475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