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4A19" w14:textId="3F4D3DA3" w:rsidR="00A4189B" w:rsidRPr="00A4189B" w:rsidRDefault="00F4180A" w:rsidP="004A2308">
      <w:pPr>
        <w:tabs>
          <w:tab w:val="center" w:pos="4513"/>
        </w:tabs>
        <w:jc w:val="both"/>
        <w:rPr>
          <w:b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44DE08E5" wp14:editId="150812BC">
            <wp:simplePos x="0" y="0"/>
            <wp:positionH relativeFrom="column">
              <wp:posOffset>190500</wp:posOffset>
            </wp:positionH>
            <wp:positionV relativeFrom="paragraph">
              <wp:posOffset>-228600</wp:posOffset>
            </wp:positionV>
            <wp:extent cx="1407795" cy="718820"/>
            <wp:effectExtent l="0" t="0" r="1905" b="5080"/>
            <wp:wrapNone/>
            <wp:docPr id="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89B" w:rsidRPr="00A4189B">
        <w:rPr>
          <w:b/>
          <w:szCs w:val="24"/>
        </w:rPr>
        <w:t xml:space="preserve">                                                                               </w:t>
      </w:r>
      <w:r w:rsidR="00A4189B" w:rsidRPr="00A4189B">
        <w:rPr>
          <w:sz w:val="52"/>
        </w:rPr>
        <w:t>POSITION DESCRIPTION</w:t>
      </w:r>
      <w:r w:rsidR="00A4189B" w:rsidRPr="00A4189B">
        <w:rPr>
          <w:b/>
          <w:szCs w:val="24"/>
        </w:rPr>
        <w:tab/>
        <w:t xml:space="preserve">         </w:t>
      </w:r>
    </w:p>
    <w:p w14:paraId="21766977" w14:textId="77777777" w:rsidR="00A4189B" w:rsidRPr="00A4189B" w:rsidRDefault="00A4189B" w:rsidP="004A2308">
      <w:pPr>
        <w:tabs>
          <w:tab w:val="left" w:pos="3600"/>
        </w:tabs>
        <w:jc w:val="both"/>
        <w:rPr>
          <w:b/>
          <w:szCs w:val="24"/>
        </w:rPr>
      </w:pPr>
    </w:p>
    <w:p w14:paraId="0DC9471A" w14:textId="77777777" w:rsidR="008220E3" w:rsidRDefault="008220E3" w:rsidP="008220E3">
      <w:pPr>
        <w:tabs>
          <w:tab w:val="left" w:pos="3600"/>
        </w:tabs>
        <w:spacing w:after="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 xml:space="preserve">Directorate: </w:t>
      </w:r>
      <w:r>
        <w:rPr>
          <w:b/>
          <w:sz w:val="24"/>
          <w:szCs w:val="24"/>
        </w:rPr>
        <w:tab/>
      </w:r>
      <w:r w:rsidRPr="00F1556A">
        <w:rPr>
          <w:sz w:val="24"/>
          <w:szCs w:val="24"/>
        </w:rPr>
        <w:t>Education</w:t>
      </w:r>
      <w:r w:rsidRPr="00F1556A">
        <w:rPr>
          <w:sz w:val="24"/>
          <w:szCs w:val="24"/>
        </w:rPr>
        <w:tab/>
      </w:r>
      <w:r w:rsidRPr="00F1556A">
        <w:rPr>
          <w:sz w:val="24"/>
          <w:szCs w:val="24"/>
        </w:rPr>
        <w:tab/>
      </w:r>
      <w:r w:rsidRPr="00F1556A">
        <w:rPr>
          <w:sz w:val="24"/>
          <w:szCs w:val="24"/>
        </w:rPr>
        <w:tab/>
      </w:r>
      <w:r w:rsidRPr="00F1556A">
        <w:rPr>
          <w:sz w:val="24"/>
          <w:szCs w:val="24"/>
        </w:rPr>
        <w:tab/>
      </w:r>
    </w:p>
    <w:p w14:paraId="7DB95DC6" w14:textId="7CB9A04D" w:rsidR="008220E3" w:rsidRPr="00F1556A" w:rsidRDefault="008220E3" w:rsidP="008220E3">
      <w:pPr>
        <w:tabs>
          <w:tab w:val="left" w:pos="3600"/>
        </w:tabs>
        <w:spacing w:after="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 xml:space="preserve">Branch: </w:t>
      </w:r>
      <w:r>
        <w:rPr>
          <w:b/>
          <w:sz w:val="24"/>
          <w:szCs w:val="24"/>
        </w:rPr>
        <w:tab/>
      </w:r>
      <w:r w:rsidR="00EE0D32">
        <w:rPr>
          <w:b/>
          <w:sz w:val="24"/>
          <w:szCs w:val="24"/>
        </w:rPr>
        <w:t xml:space="preserve">Chief Operating Officer Group </w:t>
      </w:r>
    </w:p>
    <w:p w14:paraId="4B4F7103" w14:textId="644A2C08" w:rsidR="008220E3" w:rsidRDefault="008220E3" w:rsidP="008220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3D2D">
        <w:rPr>
          <w:bCs/>
          <w:sz w:val="24"/>
          <w:szCs w:val="24"/>
        </w:rPr>
        <w:t>People and Performance</w:t>
      </w:r>
    </w:p>
    <w:p w14:paraId="41AF5223" w14:textId="5992FFB3" w:rsidR="008220E3" w:rsidRDefault="008220E3" w:rsidP="008220E3">
      <w:pPr>
        <w:spacing w:after="0"/>
        <w:rPr>
          <w:sz w:val="24"/>
          <w:szCs w:val="24"/>
        </w:rPr>
      </w:pPr>
      <w:r w:rsidRPr="00F1556A">
        <w:rPr>
          <w:b/>
          <w:sz w:val="24"/>
          <w:szCs w:val="24"/>
        </w:rPr>
        <w:t>Position Title</w:t>
      </w:r>
      <w:r w:rsidRPr="004151C9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29C9">
        <w:rPr>
          <w:sz w:val="24"/>
          <w:szCs w:val="24"/>
        </w:rPr>
        <w:t>Senior Director</w:t>
      </w:r>
      <w:r w:rsidR="00235A5B">
        <w:rPr>
          <w:sz w:val="24"/>
          <w:szCs w:val="24"/>
        </w:rPr>
        <w:t xml:space="preserve"> People and Conduct</w:t>
      </w:r>
    </w:p>
    <w:p w14:paraId="7DEEDE94" w14:textId="72553F50" w:rsidR="008220E3" w:rsidRPr="004151C9" w:rsidRDefault="008220E3" w:rsidP="008220E3">
      <w:pPr>
        <w:spacing w:after="0"/>
        <w:rPr>
          <w:sz w:val="24"/>
          <w:szCs w:val="24"/>
        </w:rPr>
      </w:pPr>
      <w:r w:rsidRPr="00446273">
        <w:rPr>
          <w:rFonts w:cstheme="minorHAnsi"/>
          <w:b/>
          <w:sz w:val="24"/>
          <w:szCs w:val="24"/>
        </w:rPr>
        <w:t>P</w:t>
      </w:r>
      <w:r w:rsidRPr="004151C9">
        <w:rPr>
          <w:b/>
          <w:sz w:val="24"/>
          <w:szCs w:val="24"/>
        </w:rPr>
        <w:t>osition</w:t>
      </w:r>
      <w:r>
        <w:rPr>
          <w:b/>
          <w:sz w:val="24"/>
          <w:szCs w:val="24"/>
        </w:rPr>
        <w:t xml:space="preserve"> </w:t>
      </w:r>
      <w:r w:rsidRPr="004151C9">
        <w:rPr>
          <w:b/>
          <w:sz w:val="24"/>
          <w:szCs w:val="24"/>
        </w:rPr>
        <w:t xml:space="preserve">Number: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</w:t>
      </w:r>
      <w:r w:rsidR="00A33D2D">
        <w:rPr>
          <w:sz w:val="24"/>
          <w:szCs w:val="24"/>
        </w:rPr>
        <w:t>09408</w:t>
      </w:r>
    </w:p>
    <w:p w14:paraId="4FDDDA1D" w14:textId="7250A519" w:rsidR="008220E3" w:rsidRPr="00EE0D32" w:rsidRDefault="008220E3" w:rsidP="008220E3">
      <w:pPr>
        <w:spacing w:after="0"/>
        <w:jc w:val="both"/>
        <w:rPr>
          <w:rFonts w:cstheme="minorHAnsi"/>
          <w:sz w:val="24"/>
          <w:szCs w:val="24"/>
        </w:rPr>
      </w:pPr>
      <w:r w:rsidRPr="004151C9">
        <w:rPr>
          <w:b/>
          <w:sz w:val="24"/>
          <w:szCs w:val="24"/>
        </w:rPr>
        <w:t xml:space="preserve">Classification: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1620B">
        <w:rPr>
          <w:rFonts w:cstheme="minorHAnsi"/>
          <w:sz w:val="24"/>
          <w:szCs w:val="24"/>
        </w:rPr>
        <w:t xml:space="preserve">Senior Officer Grade </w:t>
      </w:r>
      <w:r w:rsidR="00FC29C9">
        <w:rPr>
          <w:rFonts w:cstheme="minorHAnsi"/>
          <w:sz w:val="24"/>
          <w:szCs w:val="24"/>
        </w:rPr>
        <w:t xml:space="preserve">A </w:t>
      </w:r>
      <w:r w:rsidR="00F1620B">
        <w:rPr>
          <w:rFonts w:cstheme="minorHAnsi"/>
          <w:sz w:val="24"/>
          <w:szCs w:val="24"/>
        </w:rPr>
        <w:t>(SOG</w:t>
      </w:r>
      <w:r w:rsidR="00FC29C9">
        <w:rPr>
          <w:rFonts w:cstheme="minorHAnsi"/>
          <w:sz w:val="24"/>
          <w:szCs w:val="24"/>
        </w:rPr>
        <w:t>A</w:t>
      </w:r>
      <w:r w:rsidR="00F1620B">
        <w:rPr>
          <w:rFonts w:cstheme="minorHAnsi"/>
          <w:sz w:val="24"/>
          <w:szCs w:val="24"/>
        </w:rPr>
        <w:t>)</w:t>
      </w:r>
      <w:r w:rsidR="00EE0D32">
        <w:rPr>
          <w:rFonts w:cstheme="minorHAnsi"/>
          <w:sz w:val="24"/>
          <w:szCs w:val="24"/>
        </w:rPr>
        <w:t xml:space="preserve"> </w:t>
      </w:r>
      <w:r w:rsidRPr="00F1556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</w:p>
    <w:p w14:paraId="5C24194C" w14:textId="2135356B" w:rsidR="00EE0D32" w:rsidRDefault="00EE0D32" w:rsidP="008220E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Duration                                                  Temporary Position available (</w:t>
      </w:r>
      <w:r w:rsidRPr="00EE0D32">
        <w:rPr>
          <w:b/>
          <w:sz w:val="24"/>
          <w:szCs w:val="24"/>
        </w:rPr>
        <w:t>29 June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2026 </w:t>
      </w:r>
      <w:r w:rsidRPr="00EE0D32">
        <w:rPr>
          <w:b/>
          <w:sz w:val="24"/>
          <w:szCs w:val="24"/>
        </w:rPr>
        <w:t xml:space="preserve"> –</w:t>
      </w:r>
      <w:proofErr w:type="gramEnd"/>
      <w:r w:rsidRPr="00EE0D32">
        <w:rPr>
          <w:b/>
          <w:sz w:val="24"/>
          <w:szCs w:val="24"/>
        </w:rPr>
        <w:t xml:space="preserve"> 31 July</w:t>
      </w:r>
      <w:r>
        <w:rPr>
          <w:b/>
          <w:sz w:val="24"/>
          <w:szCs w:val="24"/>
        </w:rPr>
        <w:t xml:space="preserve"> 2026</w:t>
      </w:r>
      <w:r w:rsidR="002C19B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14:paraId="0D05583D" w14:textId="0EF806A8" w:rsidR="008220E3" w:rsidRDefault="008220E3" w:rsidP="008220E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Immediate Supervisor: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29C9">
        <w:rPr>
          <w:bCs/>
          <w:sz w:val="24"/>
          <w:szCs w:val="24"/>
        </w:rPr>
        <w:t>Executive Branch Manager</w:t>
      </w:r>
      <w:r w:rsidR="004D078F">
        <w:rPr>
          <w:bCs/>
          <w:sz w:val="24"/>
          <w:szCs w:val="24"/>
        </w:rPr>
        <w:t xml:space="preserve"> People and Performance</w:t>
      </w:r>
    </w:p>
    <w:p w14:paraId="2116DD80" w14:textId="77777777" w:rsidR="008220E3" w:rsidRPr="00F1556A" w:rsidRDefault="008220E3" w:rsidP="008220E3">
      <w:pPr>
        <w:spacing w:after="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>Security</w:t>
      </w:r>
      <w:r>
        <w:rPr>
          <w:b/>
          <w:sz w:val="24"/>
          <w:szCs w:val="24"/>
        </w:rPr>
        <w:t xml:space="preserve"> </w:t>
      </w:r>
      <w:r w:rsidRPr="00F1556A">
        <w:rPr>
          <w:b/>
          <w:sz w:val="24"/>
          <w:szCs w:val="24"/>
        </w:rPr>
        <w:t xml:space="preserve">Clearance Required: </w:t>
      </w:r>
      <w:r>
        <w:rPr>
          <w:b/>
          <w:sz w:val="24"/>
          <w:szCs w:val="24"/>
        </w:rPr>
        <w:tab/>
      </w:r>
      <w:r w:rsidRPr="00F1556A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</w:p>
    <w:p w14:paraId="053C39F7" w14:textId="5CF9B79A" w:rsidR="008220E3" w:rsidRDefault="008220E3" w:rsidP="00FC29C9">
      <w:pPr>
        <w:spacing w:after="0"/>
        <w:ind w:left="3600" w:hanging="360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 xml:space="preserve">Location: </w:t>
      </w:r>
      <w:r>
        <w:rPr>
          <w:b/>
          <w:sz w:val="24"/>
          <w:szCs w:val="24"/>
        </w:rPr>
        <w:tab/>
      </w:r>
      <w:r w:rsidRPr="00F1556A">
        <w:rPr>
          <w:sz w:val="24"/>
          <w:szCs w:val="24"/>
        </w:rPr>
        <w:t>Hedley Beare</w:t>
      </w:r>
      <w:r>
        <w:rPr>
          <w:sz w:val="24"/>
          <w:szCs w:val="24"/>
        </w:rPr>
        <w:t xml:space="preserve"> Centre for Teaching and Learning, Stirling ACT </w:t>
      </w:r>
    </w:p>
    <w:p w14:paraId="728870A0" w14:textId="7DE5E6BC" w:rsidR="008220E3" w:rsidRDefault="008220E3" w:rsidP="008220E3">
      <w:pPr>
        <w:spacing w:after="0"/>
        <w:jc w:val="both"/>
        <w:rPr>
          <w:sz w:val="24"/>
          <w:szCs w:val="24"/>
        </w:rPr>
      </w:pPr>
      <w:r w:rsidRPr="00F1556A">
        <w:rPr>
          <w:b/>
          <w:sz w:val="24"/>
          <w:szCs w:val="24"/>
        </w:rPr>
        <w:t>Last Reviewed: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D078F">
        <w:rPr>
          <w:sz w:val="24"/>
          <w:szCs w:val="24"/>
        </w:rPr>
        <w:t xml:space="preserve">December </w:t>
      </w:r>
      <w:r w:rsidR="002C19B0">
        <w:rPr>
          <w:sz w:val="24"/>
          <w:szCs w:val="24"/>
        </w:rPr>
        <w:t>202</w:t>
      </w:r>
      <w:r w:rsidR="002C19B0">
        <w:rPr>
          <w:sz w:val="24"/>
          <w:szCs w:val="24"/>
        </w:rPr>
        <w:t>6</w:t>
      </w:r>
    </w:p>
    <w:p w14:paraId="5323608B" w14:textId="77777777" w:rsidR="0048683F" w:rsidRPr="004A2308" w:rsidRDefault="0048683F" w:rsidP="004A2308">
      <w:pPr>
        <w:spacing w:before="240"/>
        <w:jc w:val="both"/>
        <w:rPr>
          <w:sz w:val="24"/>
          <w:szCs w:val="24"/>
        </w:rPr>
      </w:pPr>
    </w:p>
    <w:p w14:paraId="7DBBA949" w14:textId="77777777" w:rsidR="0048683F" w:rsidRDefault="0048683F" w:rsidP="0048683F">
      <w:pPr>
        <w:spacing w:after="120" w:line="240" w:lineRule="auto"/>
        <w:jc w:val="both"/>
        <w:rPr>
          <w:rFonts w:cs="Arial"/>
        </w:rPr>
      </w:pPr>
    </w:p>
    <w:p w14:paraId="26B89D2A" w14:textId="395F549E" w:rsidR="00F1556A" w:rsidRPr="00F1556A" w:rsidRDefault="00F1556A" w:rsidP="0048683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3721B5E" w14:textId="77777777" w:rsidR="00F1556A" w:rsidRPr="00F1556A" w:rsidRDefault="00F1556A" w:rsidP="004A2308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 w:rsidRPr="00F1556A">
        <w:rPr>
          <w:rFonts w:eastAsia="Times New Roman" w:cs="Times New Roman"/>
          <w:b/>
          <w:spacing w:val="5"/>
          <w:sz w:val="32"/>
          <w:szCs w:val="32"/>
          <w:lang w:eastAsia="ja-JP"/>
        </w:rPr>
        <w:t>DIRECTORATE OVERVIEW</w:t>
      </w:r>
    </w:p>
    <w:p w14:paraId="0423AD9B" w14:textId="41033663" w:rsidR="0048683F" w:rsidRDefault="0048683F" w:rsidP="0048683F">
      <w:pPr>
        <w:spacing w:after="0" w:line="240" w:lineRule="auto"/>
        <w:jc w:val="both"/>
        <w:rPr>
          <w:bCs/>
        </w:rPr>
      </w:pPr>
      <w:r w:rsidRPr="00663A64">
        <w:rPr>
          <w:bCs/>
        </w:rPr>
        <w:t xml:space="preserve">The Education Directorate is one of </w:t>
      </w:r>
      <w:r w:rsidR="0064028A">
        <w:rPr>
          <w:bCs/>
        </w:rPr>
        <w:t>ten</w:t>
      </w:r>
      <w:r w:rsidRPr="00663A64">
        <w:rPr>
          <w:bCs/>
        </w:rPr>
        <w:t xml:space="preserve"> ACT Government Directorates established with a collaborative purpose to achieve the ACT Government’s priorities and to serve the community. The Education Directorate services include the provision of public-school education, regulation of education and care services, registration of non-government schools and home education.</w:t>
      </w:r>
    </w:p>
    <w:p w14:paraId="67C7CCC7" w14:textId="77777777" w:rsidR="0048683F" w:rsidRPr="00663A64" w:rsidRDefault="0048683F" w:rsidP="0048683F">
      <w:pPr>
        <w:spacing w:after="0" w:line="240" w:lineRule="auto"/>
        <w:jc w:val="both"/>
        <w:rPr>
          <w:bCs/>
        </w:rPr>
      </w:pPr>
    </w:p>
    <w:p w14:paraId="7707D458" w14:textId="77777777" w:rsidR="0048683F" w:rsidRDefault="0048683F" w:rsidP="0048683F">
      <w:pPr>
        <w:spacing w:after="0" w:line="240" w:lineRule="auto"/>
        <w:jc w:val="both"/>
        <w:rPr>
          <w:bCs/>
        </w:rPr>
      </w:pPr>
      <w:r w:rsidRPr="00663A64">
        <w:rPr>
          <w:b/>
        </w:rPr>
        <w:t>What is important to us:</w:t>
      </w:r>
      <w:r w:rsidRPr="00663A64">
        <w:rPr>
          <w:bCs/>
        </w:rPr>
        <w:t xml:space="preserve"> We are an education system that empowers our young people to thrive in ways that foster a democratic, equitable, diverse and prosperous society.</w:t>
      </w:r>
    </w:p>
    <w:p w14:paraId="026A1CF3" w14:textId="77777777" w:rsidR="0048683F" w:rsidRPr="00663A64" w:rsidRDefault="0048683F" w:rsidP="0048683F">
      <w:pPr>
        <w:spacing w:after="0" w:line="240" w:lineRule="auto"/>
        <w:jc w:val="both"/>
        <w:rPr>
          <w:bCs/>
        </w:rPr>
      </w:pPr>
    </w:p>
    <w:p w14:paraId="3BE535D3" w14:textId="77777777" w:rsidR="0048683F" w:rsidRDefault="0048683F" w:rsidP="0048683F">
      <w:pPr>
        <w:spacing w:after="0" w:line="240" w:lineRule="auto"/>
        <w:jc w:val="both"/>
        <w:rPr>
          <w:bCs/>
        </w:rPr>
      </w:pPr>
      <w:r w:rsidRPr="00663A64">
        <w:rPr>
          <w:b/>
        </w:rPr>
        <w:t>Our Mission:</w:t>
      </w:r>
      <w:r w:rsidRPr="00663A64">
        <w:rPr>
          <w:bCs/>
        </w:rPr>
        <w:t xml:space="preserve"> We develop and deliver educational services to empower each young person in the ACT to learn for life.</w:t>
      </w:r>
    </w:p>
    <w:p w14:paraId="634EA530" w14:textId="77777777" w:rsidR="0048683F" w:rsidRPr="00663A64" w:rsidRDefault="0048683F" w:rsidP="0048683F">
      <w:pPr>
        <w:spacing w:after="0" w:line="240" w:lineRule="auto"/>
        <w:jc w:val="both"/>
        <w:rPr>
          <w:bCs/>
        </w:rPr>
      </w:pPr>
    </w:p>
    <w:p w14:paraId="5B24027F" w14:textId="32D5AA3E" w:rsidR="0048683F" w:rsidRDefault="0048683F" w:rsidP="0048683F">
      <w:pPr>
        <w:spacing w:after="0" w:line="240" w:lineRule="auto"/>
        <w:jc w:val="both"/>
        <w:rPr>
          <w:bCs/>
        </w:rPr>
      </w:pPr>
      <w:r w:rsidRPr="00663A64">
        <w:rPr>
          <w:b/>
        </w:rPr>
        <w:t>Our Vision:</w:t>
      </w:r>
      <w:r w:rsidRPr="00663A64">
        <w:rPr>
          <w:bCs/>
        </w:rPr>
        <w:t xml:space="preserve"> </w:t>
      </w:r>
      <w:r w:rsidR="0064028A">
        <w:rPr>
          <w:b/>
        </w:rPr>
        <w:t xml:space="preserve">to be a leading learning organisation where people know they matter. </w:t>
      </w:r>
      <w:r w:rsidR="0064028A">
        <w:t>Our Directorate values of respect, integrity, collaboration, and innovation reflect the employee values of the ACT Public Service.</w:t>
      </w:r>
    </w:p>
    <w:p w14:paraId="5BEDA813" w14:textId="77777777" w:rsidR="0048683F" w:rsidRPr="00663A64" w:rsidRDefault="0048683F" w:rsidP="0048683F">
      <w:pPr>
        <w:spacing w:after="0" w:line="240" w:lineRule="auto"/>
        <w:jc w:val="both"/>
        <w:rPr>
          <w:bCs/>
        </w:rPr>
      </w:pPr>
    </w:p>
    <w:p w14:paraId="77E87B6A" w14:textId="77777777" w:rsidR="0064028A" w:rsidRPr="00545268" w:rsidRDefault="0064028A" w:rsidP="0064028A">
      <w:r w:rsidRPr="00545268">
        <w:t xml:space="preserve">The ACT public education system continues to expand with over </w:t>
      </w:r>
      <w:r w:rsidRPr="00813D6E">
        <w:t>50,000</w:t>
      </w:r>
      <w:r w:rsidRPr="00545268">
        <w:t xml:space="preserve"> students attending </w:t>
      </w:r>
      <w:r>
        <w:t xml:space="preserve">91 </w:t>
      </w:r>
      <w:r w:rsidRPr="00545268">
        <w:t>public schools, comprising:</w:t>
      </w:r>
    </w:p>
    <w:p w14:paraId="2CD37BFB" w14:textId="77777777" w:rsidR="0064028A" w:rsidRPr="006A6F02" w:rsidRDefault="0064028A" w:rsidP="0064028A">
      <w:pPr>
        <w:pStyle w:val="ListParagraph"/>
        <w:numPr>
          <w:ilvl w:val="0"/>
          <w:numId w:val="1"/>
        </w:numPr>
        <w:spacing w:after="0" w:line="240" w:lineRule="auto"/>
        <w:ind w:left="709" w:right="278" w:hanging="283"/>
        <w:jc w:val="both"/>
        <w:rPr>
          <w:rFonts w:cs="Calibri"/>
        </w:rPr>
      </w:pPr>
      <w:r w:rsidRPr="006A6F02">
        <w:rPr>
          <w:rFonts w:cs="Calibri"/>
        </w:rPr>
        <w:t>5</w:t>
      </w:r>
      <w:r>
        <w:rPr>
          <w:rFonts w:cs="Calibri"/>
        </w:rPr>
        <w:t>3</w:t>
      </w:r>
      <w:r w:rsidRPr="006A6F02">
        <w:rPr>
          <w:rFonts w:cs="Calibri"/>
        </w:rPr>
        <w:t xml:space="preserve"> </w:t>
      </w:r>
      <w:proofErr w:type="gramStart"/>
      <w:r w:rsidRPr="006A6F02">
        <w:rPr>
          <w:rFonts w:cs="Calibri"/>
        </w:rPr>
        <w:t>preschool</w:t>
      </w:r>
      <w:proofErr w:type="gramEnd"/>
      <w:r w:rsidRPr="006A6F02">
        <w:rPr>
          <w:rFonts w:cs="Calibri"/>
        </w:rPr>
        <w:t xml:space="preserve"> to year 6 schools (including two Koori preschools</w:t>
      </w:r>
      <w:proofErr w:type="gramStart"/>
      <w:r w:rsidRPr="006A6F02">
        <w:rPr>
          <w:rFonts w:cs="Calibri"/>
        </w:rPr>
        <w:t>);</w:t>
      </w:r>
      <w:proofErr w:type="gramEnd"/>
    </w:p>
    <w:p w14:paraId="48482A5E" w14:textId="77777777" w:rsidR="0064028A" w:rsidRPr="006A6F02" w:rsidRDefault="0064028A" w:rsidP="0064028A">
      <w:pPr>
        <w:pStyle w:val="ListParagraph"/>
        <w:numPr>
          <w:ilvl w:val="0"/>
          <w:numId w:val="1"/>
        </w:numPr>
        <w:spacing w:after="0" w:line="240" w:lineRule="auto"/>
        <w:ind w:left="709" w:right="278" w:hanging="283"/>
        <w:jc w:val="both"/>
        <w:rPr>
          <w:rFonts w:cs="Calibri"/>
        </w:rPr>
      </w:pPr>
      <w:r>
        <w:rPr>
          <w:rFonts w:cs="Calibri"/>
        </w:rPr>
        <w:t>11</w:t>
      </w:r>
      <w:r w:rsidRPr="006A6F02">
        <w:rPr>
          <w:rFonts w:cs="Calibri"/>
        </w:rPr>
        <w:t xml:space="preserve"> year 7 to 10 high </w:t>
      </w:r>
      <w:proofErr w:type="gramStart"/>
      <w:r w:rsidRPr="006A6F02">
        <w:rPr>
          <w:rFonts w:cs="Calibri"/>
        </w:rPr>
        <w:t>schools;</w:t>
      </w:r>
      <w:proofErr w:type="gramEnd"/>
    </w:p>
    <w:p w14:paraId="138E3E5B" w14:textId="77777777" w:rsidR="0064028A" w:rsidRPr="006A6F02" w:rsidRDefault="0064028A" w:rsidP="0064028A">
      <w:pPr>
        <w:pStyle w:val="ListParagraph"/>
        <w:numPr>
          <w:ilvl w:val="0"/>
          <w:numId w:val="1"/>
        </w:numPr>
        <w:spacing w:after="0" w:line="240" w:lineRule="auto"/>
        <w:ind w:left="709" w:right="278" w:hanging="283"/>
        <w:jc w:val="both"/>
        <w:rPr>
          <w:rFonts w:cs="Calibri"/>
        </w:rPr>
      </w:pPr>
      <w:r w:rsidRPr="006A6F02">
        <w:rPr>
          <w:rFonts w:cs="Calibri"/>
        </w:rPr>
        <w:t xml:space="preserve">eight year 11 and 12 secondary </w:t>
      </w:r>
      <w:proofErr w:type="gramStart"/>
      <w:r w:rsidRPr="006A6F02">
        <w:rPr>
          <w:rFonts w:cs="Calibri"/>
        </w:rPr>
        <w:t>colleges;</w:t>
      </w:r>
      <w:proofErr w:type="gramEnd"/>
    </w:p>
    <w:p w14:paraId="52FAD33E" w14:textId="77777777" w:rsidR="0064028A" w:rsidRPr="006A6F02" w:rsidRDefault="0064028A" w:rsidP="0064028A">
      <w:pPr>
        <w:pStyle w:val="ListParagraph"/>
        <w:numPr>
          <w:ilvl w:val="0"/>
          <w:numId w:val="1"/>
        </w:numPr>
        <w:spacing w:after="0" w:line="240" w:lineRule="auto"/>
        <w:ind w:left="709" w:right="278" w:hanging="283"/>
        <w:jc w:val="both"/>
        <w:rPr>
          <w:rFonts w:cs="Calibri"/>
        </w:rPr>
      </w:pPr>
      <w:r>
        <w:rPr>
          <w:rFonts w:cs="Calibri"/>
        </w:rPr>
        <w:t>five</w:t>
      </w:r>
      <w:r w:rsidRPr="006A6F02">
        <w:rPr>
          <w:rFonts w:cs="Calibri"/>
        </w:rPr>
        <w:t xml:space="preserve"> early childhood schools (preschool to year 2 including one Koori</w:t>
      </w:r>
      <w:proofErr w:type="gramStart"/>
      <w:r w:rsidRPr="006A6F02">
        <w:rPr>
          <w:rFonts w:cs="Calibri"/>
        </w:rPr>
        <w:t>);</w:t>
      </w:r>
      <w:proofErr w:type="gramEnd"/>
    </w:p>
    <w:p w14:paraId="7B86D579" w14:textId="77777777" w:rsidR="0064028A" w:rsidRPr="006A6F02" w:rsidRDefault="0064028A" w:rsidP="0064028A">
      <w:pPr>
        <w:pStyle w:val="ListParagraph"/>
        <w:numPr>
          <w:ilvl w:val="0"/>
          <w:numId w:val="1"/>
        </w:numPr>
        <w:spacing w:after="0" w:line="240" w:lineRule="auto"/>
        <w:ind w:left="709" w:right="278" w:hanging="283"/>
        <w:jc w:val="both"/>
        <w:rPr>
          <w:rFonts w:cs="Calibri"/>
        </w:rPr>
      </w:pPr>
      <w:r w:rsidRPr="006A6F02">
        <w:rPr>
          <w:rFonts w:cs="Calibri"/>
        </w:rPr>
        <w:t xml:space="preserve">four specialist </w:t>
      </w:r>
      <w:proofErr w:type="gramStart"/>
      <w:r w:rsidRPr="006A6F02">
        <w:rPr>
          <w:rFonts w:cs="Calibri"/>
        </w:rPr>
        <w:t>schools;</w:t>
      </w:r>
      <w:proofErr w:type="gramEnd"/>
    </w:p>
    <w:p w14:paraId="7EB88EFF" w14:textId="77777777" w:rsidR="0064028A" w:rsidRDefault="0064028A" w:rsidP="0064028A">
      <w:pPr>
        <w:pStyle w:val="ListParagraph"/>
        <w:numPr>
          <w:ilvl w:val="0"/>
          <w:numId w:val="1"/>
        </w:numPr>
        <w:spacing w:after="0" w:line="240" w:lineRule="auto"/>
        <w:ind w:left="709" w:right="278" w:hanging="283"/>
        <w:jc w:val="both"/>
        <w:rPr>
          <w:rFonts w:cs="Calibri"/>
        </w:rPr>
      </w:pPr>
      <w:r>
        <w:rPr>
          <w:rFonts w:cs="Calibri"/>
        </w:rPr>
        <w:t>ten</w:t>
      </w:r>
      <w:r w:rsidRPr="006A6F02">
        <w:rPr>
          <w:rFonts w:cs="Calibri"/>
        </w:rPr>
        <w:t xml:space="preserve"> </w:t>
      </w:r>
      <w:proofErr w:type="gramStart"/>
      <w:r w:rsidRPr="006A6F02">
        <w:rPr>
          <w:rFonts w:cs="Calibri"/>
        </w:rPr>
        <w:t>preschool</w:t>
      </w:r>
      <w:proofErr w:type="gramEnd"/>
      <w:r w:rsidRPr="006A6F02">
        <w:rPr>
          <w:rFonts w:cs="Calibri"/>
        </w:rPr>
        <w:t xml:space="preserve"> to year 10 schools (including two Koori preschool)</w:t>
      </w:r>
      <w:r w:rsidRPr="00A7375D">
        <w:rPr>
          <w:rFonts w:cs="Calibri"/>
        </w:rPr>
        <w:t>.</w:t>
      </w:r>
    </w:p>
    <w:p w14:paraId="0055FC20" w14:textId="77777777" w:rsidR="0048683F" w:rsidRPr="004151C9" w:rsidRDefault="0048683F" w:rsidP="0048683F">
      <w:pPr>
        <w:spacing w:after="0"/>
        <w:ind w:left="709" w:right="278"/>
        <w:contextualSpacing/>
        <w:jc w:val="both"/>
      </w:pPr>
    </w:p>
    <w:p w14:paraId="7DB5F73E" w14:textId="77777777" w:rsidR="0048683F" w:rsidRDefault="0048683F" w:rsidP="0048683F">
      <w:pPr>
        <w:spacing w:after="0" w:line="240" w:lineRule="auto"/>
        <w:jc w:val="both"/>
        <w:rPr>
          <w:bCs/>
        </w:rPr>
      </w:pPr>
      <w:r w:rsidRPr="00663A64">
        <w:rPr>
          <w:bCs/>
        </w:rPr>
        <w:t xml:space="preserve">The Directorate also has responsibility for the planning and coordination of early childhood education and care services for the ACT. </w:t>
      </w:r>
    </w:p>
    <w:p w14:paraId="48DAF864" w14:textId="77777777" w:rsidR="0048683F" w:rsidRPr="00663A64" w:rsidRDefault="0048683F" w:rsidP="0048683F">
      <w:pPr>
        <w:spacing w:after="0" w:line="240" w:lineRule="auto"/>
        <w:jc w:val="both"/>
        <w:rPr>
          <w:bCs/>
        </w:rPr>
      </w:pPr>
    </w:p>
    <w:p w14:paraId="183EADB5" w14:textId="4E8C4081" w:rsidR="00152493" w:rsidRDefault="00152493" w:rsidP="00152493">
      <w:pPr>
        <w:spacing w:after="0" w:line="240" w:lineRule="auto"/>
        <w:jc w:val="both"/>
        <w:rPr>
          <w:bCs/>
        </w:rPr>
      </w:pPr>
      <w:r w:rsidRPr="00663A64">
        <w:rPr>
          <w:bCs/>
        </w:rPr>
        <w:t xml:space="preserve">The Directorate is structured around </w:t>
      </w:r>
      <w:r w:rsidR="0064028A">
        <w:rPr>
          <w:bCs/>
        </w:rPr>
        <w:t>five groups</w:t>
      </w:r>
      <w:r w:rsidRPr="00663A64">
        <w:rPr>
          <w:bCs/>
        </w:rPr>
        <w:t xml:space="preserve">: School Improvement; System Policy and Reform; </w:t>
      </w:r>
      <w:r w:rsidR="00D342B0">
        <w:rPr>
          <w:bCs/>
        </w:rPr>
        <w:t>People, Governance and Communications</w:t>
      </w:r>
      <w:r w:rsidR="002F761A">
        <w:rPr>
          <w:bCs/>
        </w:rPr>
        <w:t>;</w:t>
      </w:r>
      <w:r w:rsidR="00D342B0">
        <w:rPr>
          <w:bCs/>
        </w:rPr>
        <w:t xml:space="preserve"> Finance and Infrastructure; </w:t>
      </w:r>
      <w:r w:rsidRPr="00663A64">
        <w:rPr>
          <w:bCs/>
        </w:rPr>
        <w:t xml:space="preserve">and Service Delivery and Design. The Directorate employs </w:t>
      </w:r>
      <w:r w:rsidR="00190C11">
        <w:rPr>
          <w:bCs/>
        </w:rPr>
        <w:t>over 8,00</w:t>
      </w:r>
      <w:r w:rsidRPr="00663A64">
        <w:rPr>
          <w:bCs/>
        </w:rPr>
        <w:t xml:space="preserve"> staff </w:t>
      </w:r>
      <w:r w:rsidR="00190C11">
        <w:rPr>
          <w:bCs/>
        </w:rPr>
        <w:t>and over 4,700</w:t>
      </w:r>
      <w:r w:rsidRPr="00663A64">
        <w:rPr>
          <w:bCs/>
        </w:rPr>
        <w:t xml:space="preserve"> </w:t>
      </w:r>
      <w:proofErr w:type="gramStart"/>
      <w:r w:rsidRPr="00663A64">
        <w:rPr>
          <w:bCs/>
        </w:rPr>
        <w:t>school teachers</w:t>
      </w:r>
      <w:proofErr w:type="gramEnd"/>
      <w:r w:rsidRPr="00663A64">
        <w:rPr>
          <w:bCs/>
        </w:rPr>
        <w:t xml:space="preserve"> and leaders.</w:t>
      </w:r>
    </w:p>
    <w:p w14:paraId="7A018469" w14:textId="77777777" w:rsidR="0048683F" w:rsidRPr="00663A64" w:rsidRDefault="0048683F" w:rsidP="0048683F">
      <w:pPr>
        <w:spacing w:after="0" w:line="240" w:lineRule="auto"/>
        <w:jc w:val="both"/>
        <w:rPr>
          <w:bCs/>
        </w:rPr>
      </w:pPr>
    </w:p>
    <w:p w14:paraId="2741B90A" w14:textId="1F648914" w:rsidR="0048683F" w:rsidRDefault="0048683F" w:rsidP="0048683F">
      <w:pPr>
        <w:spacing w:after="0" w:line="240" w:lineRule="auto"/>
        <w:jc w:val="both"/>
        <w:rPr>
          <w:bCs/>
        </w:rPr>
      </w:pPr>
      <w:r w:rsidRPr="00663A64">
        <w:rPr>
          <w:bCs/>
        </w:rPr>
        <w:t xml:space="preserve">Further information about working in the ACT Public Service and the Education Directorate can be found at </w:t>
      </w:r>
      <w:hyperlink r:id="rId6" w:history="1">
        <w:r w:rsidRPr="00864728">
          <w:rPr>
            <w:rStyle w:val="Hyperlink"/>
            <w:bCs/>
          </w:rPr>
          <w:t>https://www.jobs.act.gov.au/about-the-actps</w:t>
        </w:r>
      </w:hyperlink>
      <w:r>
        <w:rPr>
          <w:bCs/>
        </w:rPr>
        <w:t xml:space="preserve"> and </w:t>
      </w:r>
      <w:hyperlink r:id="rId7" w:history="1">
        <w:r w:rsidRPr="00864728">
          <w:rPr>
            <w:rStyle w:val="Hyperlink"/>
            <w:bCs/>
          </w:rPr>
          <w:t>https://www.education.act.gov.au/</w:t>
        </w:r>
      </w:hyperlink>
      <w:r>
        <w:rPr>
          <w:bCs/>
        </w:rPr>
        <w:t xml:space="preserve"> .</w:t>
      </w:r>
    </w:p>
    <w:p w14:paraId="6EEB92F0" w14:textId="5E70F6C0" w:rsidR="0048683F" w:rsidRDefault="0048683F" w:rsidP="0048683F">
      <w:pPr>
        <w:spacing w:after="0" w:line="240" w:lineRule="auto"/>
        <w:jc w:val="both"/>
        <w:rPr>
          <w:bCs/>
        </w:rPr>
      </w:pPr>
    </w:p>
    <w:p w14:paraId="2EB6FD71" w14:textId="77777777" w:rsidR="0048683F" w:rsidRDefault="0048683F" w:rsidP="0048683F">
      <w:pPr>
        <w:spacing w:after="0" w:line="240" w:lineRule="auto"/>
        <w:jc w:val="both"/>
        <w:rPr>
          <w:bCs/>
        </w:rPr>
      </w:pPr>
    </w:p>
    <w:p w14:paraId="52359EB7" w14:textId="77777777" w:rsidR="00FE4F26" w:rsidRPr="00F1556A" w:rsidRDefault="00FE4F26" w:rsidP="00FE4F26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>
        <w:rPr>
          <w:rFonts w:eastAsia="Times New Roman" w:cs="Times New Roman"/>
          <w:b/>
          <w:spacing w:val="5"/>
          <w:sz w:val="32"/>
          <w:szCs w:val="32"/>
          <w:lang w:eastAsia="ja-JP"/>
        </w:rPr>
        <w:t>BRANCH</w:t>
      </w:r>
      <w:r w:rsidRPr="004A2308">
        <w:rPr>
          <w:rFonts w:eastAsia="Times New Roman" w:cs="Times New Roman"/>
          <w:b/>
          <w:spacing w:val="5"/>
          <w:sz w:val="32"/>
          <w:szCs w:val="32"/>
          <w:lang w:eastAsia="ja-JP"/>
        </w:rPr>
        <w:t xml:space="preserve"> OVERVIEW</w:t>
      </w:r>
    </w:p>
    <w:p w14:paraId="7D60D6F4" w14:textId="77777777" w:rsidR="006D19AE" w:rsidRPr="003C5162" w:rsidRDefault="006D19AE" w:rsidP="006D19AE">
      <w:pPr>
        <w:spacing w:before="120" w:after="120"/>
      </w:pPr>
      <w:r w:rsidRPr="003C5162">
        <w:t xml:space="preserve">The People and Performance Branch </w:t>
      </w:r>
      <w:proofErr w:type="gramStart"/>
      <w:r w:rsidRPr="003C5162">
        <w:t>incorporates</w:t>
      </w:r>
      <w:proofErr w:type="gramEnd"/>
      <w:r w:rsidRPr="003C5162">
        <w:t xml:space="preserve"> </w:t>
      </w:r>
      <w:r>
        <w:t xml:space="preserve">Recruitment; People and Conduct, including </w:t>
      </w:r>
      <w:r w:rsidRPr="003C5162">
        <w:t xml:space="preserve">HR </w:t>
      </w:r>
      <w:r>
        <w:t>Business Partners, Injury Management and People Cases; Workplace Relations; New Educator Support Program; and People Strategy, including Teacher Workload Reform, People Capability, Diversity and Inclusion and the Workforce Analytics and Strategy team</w:t>
      </w:r>
      <w:r w:rsidRPr="003C5162">
        <w:t xml:space="preserve">. The Branch is responsible for providing quality, client focused services to maintain a highly skilled, sustainable workforce. </w:t>
      </w:r>
    </w:p>
    <w:p w14:paraId="0723476E" w14:textId="77777777" w:rsidR="006D19AE" w:rsidRPr="003C5162" w:rsidRDefault="006D19AE" w:rsidP="006D19AE">
      <w:pPr>
        <w:spacing w:before="120" w:after="120"/>
      </w:pPr>
      <w:r w:rsidRPr="003C5162">
        <w:t>This includes:</w:t>
      </w:r>
    </w:p>
    <w:p w14:paraId="6F77F2F1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providing high quality, client focused human resources services to ensure the Directorate maintains a highly skilled, sustainable workforce</w:t>
      </w:r>
    </w:p>
    <w:p w14:paraId="67AFF94A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providing expert advice and assistance to senior executives on a broad range of strategic HR management activities in accordance with relevant legislation, policies and guidelines</w:t>
      </w:r>
    </w:p>
    <w:p w14:paraId="64FB81E5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building organisational capability to achieve the outcomes of the strategic plan</w:t>
      </w:r>
    </w:p>
    <w:p w14:paraId="1FB30B41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developing and implementing Directorate strategic for workforce planning (including increasing teacher effectiveness)</w:t>
      </w:r>
    </w:p>
    <w:p w14:paraId="32C38705" w14:textId="77777777" w:rsidR="006D19AE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strategically analysing workforce data to underpin evidence-based advice and support to the Directorate executive</w:t>
      </w:r>
    </w:p>
    <w:p w14:paraId="077E28DF" w14:textId="77777777" w:rsidR="00F7289A" w:rsidRPr="004A2308" w:rsidRDefault="00F7289A" w:rsidP="00F7289A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</w:rPr>
      </w:pPr>
      <w:r w:rsidRPr="004A2308">
        <w:rPr>
          <w:rFonts w:ascii="Calibri" w:hAnsi="Calibri"/>
        </w:rPr>
        <w:t>building capacity of school principals as workforce leaders and managers</w:t>
      </w:r>
    </w:p>
    <w:p w14:paraId="5F5C1C79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supporting continuous improvement through workplace agreements</w:t>
      </w:r>
    </w:p>
    <w:p w14:paraId="6BBD4218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maintaining effective partnerships to ensure client focused services</w:t>
      </w:r>
    </w:p>
    <w:p w14:paraId="569D8163" w14:textId="77777777" w:rsidR="006D19AE" w:rsidRPr="000047E3" w:rsidRDefault="006D19AE" w:rsidP="006D19AE">
      <w:pPr>
        <w:pStyle w:val="BodyText3"/>
        <w:numPr>
          <w:ilvl w:val="0"/>
          <w:numId w:val="3"/>
        </w:numPr>
        <w:spacing w:after="0" w:line="240" w:lineRule="auto"/>
        <w:ind w:left="714" w:hanging="357"/>
        <w:rPr>
          <w:rFonts w:ascii="Calibri" w:hAnsi="Calibri"/>
          <w:sz w:val="24"/>
          <w:szCs w:val="24"/>
        </w:rPr>
      </w:pPr>
      <w:r w:rsidRPr="000047E3">
        <w:rPr>
          <w:rFonts w:ascii="Calibri" w:hAnsi="Calibri"/>
          <w:sz w:val="24"/>
          <w:szCs w:val="24"/>
        </w:rPr>
        <w:t>ensuring the values and behaviours of the Directorate are upheld through strong HR policy and procedures.</w:t>
      </w:r>
    </w:p>
    <w:p w14:paraId="715E778F" w14:textId="77777777" w:rsidR="006D19AE" w:rsidRDefault="006D19AE" w:rsidP="00FE4F26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</w:p>
    <w:p w14:paraId="09A2E4A4" w14:textId="43BAD3DC" w:rsidR="00FE4F26" w:rsidRPr="004C708A" w:rsidRDefault="00FE4F26" w:rsidP="00FE4F26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 w:rsidRPr="004C708A">
        <w:rPr>
          <w:rFonts w:eastAsia="Times New Roman" w:cs="Times New Roman"/>
          <w:b/>
          <w:spacing w:val="5"/>
          <w:sz w:val="32"/>
          <w:szCs w:val="32"/>
          <w:lang w:eastAsia="ja-JP"/>
        </w:rPr>
        <w:t>POSITION OVERVIEW</w:t>
      </w:r>
    </w:p>
    <w:p w14:paraId="3F674CDB" w14:textId="553467E3" w:rsidR="00A33D2D" w:rsidRPr="00A33D2D" w:rsidRDefault="00A33D2D" w:rsidP="00A33D2D">
      <w:pPr>
        <w:spacing w:after="0" w:line="240" w:lineRule="auto"/>
        <w:jc w:val="both"/>
        <w:rPr>
          <w:bCs/>
        </w:rPr>
      </w:pPr>
      <w:r w:rsidRPr="00A33D2D">
        <w:rPr>
          <w:bCs/>
        </w:rPr>
        <w:t>The Senior Director People and Conduct is part of the People and Performance</w:t>
      </w:r>
      <w:r w:rsidR="004D078F">
        <w:rPr>
          <w:bCs/>
        </w:rPr>
        <w:t xml:space="preserve"> </w:t>
      </w:r>
      <w:r w:rsidRPr="00A33D2D">
        <w:rPr>
          <w:bCs/>
        </w:rPr>
        <w:t xml:space="preserve">leadership team, responsible for the People and Conduct team within the People and Performance branch. </w:t>
      </w:r>
    </w:p>
    <w:p w14:paraId="7E9CE4A2" w14:textId="77777777" w:rsidR="00A33D2D" w:rsidRPr="00A33D2D" w:rsidRDefault="00A33D2D" w:rsidP="00A33D2D">
      <w:pPr>
        <w:spacing w:after="0" w:line="240" w:lineRule="auto"/>
        <w:jc w:val="both"/>
        <w:rPr>
          <w:bCs/>
        </w:rPr>
      </w:pPr>
    </w:p>
    <w:p w14:paraId="09E3E758" w14:textId="3530997F" w:rsidR="008F3471" w:rsidRDefault="00A33D2D" w:rsidP="00A33D2D">
      <w:pPr>
        <w:spacing w:after="0" w:line="240" w:lineRule="auto"/>
        <w:jc w:val="both"/>
        <w:rPr>
          <w:bCs/>
        </w:rPr>
      </w:pPr>
      <w:r w:rsidRPr="00A33D2D">
        <w:rPr>
          <w:bCs/>
        </w:rPr>
        <w:t xml:space="preserve">The </w:t>
      </w:r>
      <w:r w:rsidR="008F3471">
        <w:rPr>
          <w:bCs/>
        </w:rPr>
        <w:t>Senior Director</w:t>
      </w:r>
      <w:r w:rsidR="008F3471" w:rsidRPr="00A33D2D">
        <w:rPr>
          <w:bCs/>
        </w:rPr>
        <w:t xml:space="preserve"> </w:t>
      </w:r>
      <w:r w:rsidRPr="00A33D2D">
        <w:rPr>
          <w:bCs/>
        </w:rPr>
        <w:t xml:space="preserve">is responsible for leading the HR Business Partners and </w:t>
      </w:r>
      <w:r w:rsidR="00235A5B">
        <w:rPr>
          <w:bCs/>
        </w:rPr>
        <w:t xml:space="preserve">Injury Management </w:t>
      </w:r>
      <w:r w:rsidR="002F761A">
        <w:rPr>
          <w:bCs/>
        </w:rPr>
        <w:t>and</w:t>
      </w:r>
      <w:r w:rsidRPr="00A33D2D">
        <w:rPr>
          <w:bCs/>
        </w:rPr>
        <w:t xml:space="preserve"> the People Cases team</w:t>
      </w:r>
      <w:r w:rsidR="008F3471">
        <w:rPr>
          <w:bCs/>
        </w:rPr>
        <w:t>s</w:t>
      </w:r>
      <w:r w:rsidRPr="00A33D2D">
        <w:rPr>
          <w:bCs/>
        </w:rPr>
        <w:t xml:space="preserve">. </w:t>
      </w:r>
      <w:r w:rsidR="008F3471">
        <w:rPr>
          <w:bCs/>
        </w:rPr>
        <w:t xml:space="preserve">This position is directly responsible for four Directors and has overall management of approximately 14 staff across the two teams. </w:t>
      </w:r>
    </w:p>
    <w:p w14:paraId="1B2087D3" w14:textId="77777777" w:rsidR="008F3471" w:rsidRDefault="008F3471" w:rsidP="00A33D2D">
      <w:pPr>
        <w:spacing w:after="0" w:line="240" w:lineRule="auto"/>
        <w:jc w:val="both"/>
        <w:rPr>
          <w:bCs/>
        </w:rPr>
      </w:pPr>
    </w:p>
    <w:p w14:paraId="74AD4809" w14:textId="37275C25" w:rsidR="00FE4F26" w:rsidRPr="00A33D2D" w:rsidRDefault="00A33D2D" w:rsidP="00A33D2D">
      <w:pPr>
        <w:spacing w:after="0" w:line="240" w:lineRule="auto"/>
        <w:jc w:val="both"/>
        <w:rPr>
          <w:bCs/>
        </w:rPr>
      </w:pPr>
      <w:r w:rsidRPr="00A33D2D">
        <w:rPr>
          <w:bCs/>
        </w:rPr>
        <w:t xml:space="preserve">The </w:t>
      </w:r>
      <w:r w:rsidR="008F3471">
        <w:rPr>
          <w:bCs/>
        </w:rPr>
        <w:t xml:space="preserve">primary functions of the People and Conduct </w:t>
      </w:r>
      <w:r w:rsidRPr="00A33D2D">
        <w:rPr>
          <w:bCs/>
        </w:rPr>
        <w:t xml:space="preserve">team </w:t>
      </w:r>
      <w:r w:rsidR="008F3471">
        <w:rPr>
          <w:bCs/>
        </w:rPr>
        <w:t>is to</w:t>
      </w:r>
      <w:r w:rsidRPr="00A33D2D">
        <w:rPr>
          <w:bCs/>
        </w:rPr>
        <w:t xml:space="preserve"> provid</w:t>
      </w:r>
      <w:r w:rsidR="008F3471">
        <w:rPr>
          <w:bCs/>
        </w:rPr>
        <w:t>e</w:t>
      </w:r>
      <w:r w:rsidRPr="00A33D2D">
        <w:rPr>
          <w:bCs/>
        </w:rPr>
        <w:t xml:space="preserve"> business focussed HR advice and support</w:t>
      </w:r>
      <w:r w:rsidR="008F3471">
        <w:rPr>
          <w:bCs/>
        </w:rPr>
        <w:t xml:space="preserve"> as well</w:t>
      </w:r>
      <w:r w:rsidRPr="00A33D2D">
        <w:rPr>
          <w:bCs/>
        </w:rPr>
        <w:t xml:space="preserve"> to </w:t>
      </w:r>
      <w:r w:rsidR="008F3471">
        <w:rPr>
          <w:bCs/>
        </w:rPr>
        <w:t>ACT Public school leaders and the Directorate’s leadership team. The team is also responsible for</w:t>
      </w:r>
      <w:r w:rsidRPr="00A33D2D">
        <w:rPr>
          <w:bCs/>
        </w:rPr>
        <w:t xml:space="preserve"> </w:t>
      </w:r>
      <w:r w:rsidR="008F3471" w:rsidRPr="00A633B9">
        <w:rPr>
          <w:bCs/>
        </w:rPr>
        <w:t xml:space="preserve">providing proactive advice and support to school leaders and managers in the management of complex conduct and reportable conduct matters. </w:t>
      </w:r>
    </w:p>
    <w:p w14:paraId="54E4DB8B" w14:textId="77777777" w:rsidR="00A33D2D" w:rsidRPr="00A33D2D" w:rsidRDefault="00A33D2D" w:rsidP="00A33D2D">
      <w:pPr>
        <w:spacing w:after="0" w:line="240" w:lineRule="auto"/>
        <w:jc w:val="both"/>
        <w:rPr>
          <w:bCs/>
        </w:rPr>
      </w:pPr>
    </w:p>
    <w:p w14:paraId="36B16560" w14:textId="77777777" w:rsidR="00FE4F26" w:rsidRPr="00A33D2D" w:rsidRDefault="00FE4F26" w:rsidP="00A33D2D">
      <w:pPr>
        <w:spacing w:after="0" w:line="240" w:lineRule="auto"/>
        <w:jc w:val="both"/>
        <w:rPr>
          <w:bCs/>
        </w:rPr>
      </w:pPr>
      <w:r w:rsidRPr="00A33D2D">
        <w:rPr>
          <w:bCs/>
        </w:rPr>
        <w:lastRenderedPageBreak/>
        <w:t xml:space="preserve">The Australian Capital Territory Public Service (ACTPS) is a values-based organisation where all employees are expected to embody the prescribed core values of respect, integrity, collaboration and innovation, as well demonstrate the related signature behaviours.   </w:t>
      </w:r>
    </w:p>
    <w:p w14:paraId="40EB6CE1" w14:textId="77777777" w:rsidR="00FE4F26" w:rsidRDefault="00FE4F26" w:rsidP="004A2308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</w:p>
    <w:p w14:paraId="3AAAC2E3" w14:textId="1596C13B" w:rsidR="002307EA" w:rsidRDefault="002307EA" w:rsidP="004A2308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D3A72B5" w14:textId="65429C19" w:rsidR="00F1556A" w:rsidRPr="00FE4F26" w:rsidRDefault="00FE4F26" w:rsidP="004A2308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 w:rsidRPr="00FE4F26">
        <w:rPr>
          <w:rFonts w:eastAsia="Times New Roman" w:cs="Times New Roman"/>
          <w:b/>
          <w:spacing w:val="5"/>
          <w:sz w:val="32"/>
          <w:szCs w:val="32"/>
          <w:lang w:eastAsia="ja-JP"/>
        </w:rPr>
        <w:t>WHAT YOU WILL DO</w:t>
      </w:r>
    </w:p>
    <w:p w14:paraId="21B1FDF8" w14:textId="68690EBE" w:rsidR="00A33D2D" w:rsidRPr="00A33D2D" w:rsidRDefault="002307EA" w:rsidP="00A33D2D">
      <w:pPr>
        <w:jc w:val="both"/>
      </w:pPr>
      <w:r w:rsidRPr="004A2308">
        <w:t xml:space="preserve">In accordance with Directorate </w:t>
      </w:r>
      <w:r w:rsidR="00F7289A">
        <w:t>p</w:t>
      </w:r>
      <w:r w:rsidRPr="004A2308">
        <w:t>olicies</w:t>
      </w:r>
      <w:r w:rsidR="00F1556A" w:rsidRPr="004A2308">
        <w:t>:</w:t>
      </w:r>
    </w:p>
    <w:p w14:paraId="07762896" w14:textId="2D0BAAE7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Collaborate with the Executive Branch Manager People and Performance and the wider HR team to define the Directorate’s people agenda and drive HR initiatives.</w:t>
      </w:r>
    </w:p>
    <w:p w14:paraId="21112474" w14:textId="4DB4A63F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Provide effective leadership to the team ensuring a results driven approach is fostered and adopted as well as the ability to lead any HR function within the branch.</w:t>
      </w:r>
    </w:p>
    <w:p w14:paraId="6AC86F90" w14:textId="6D969ED9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Drive key HR management agenda items and in particular, lead and manage the strategic plan action items.</w:t>
      </w:r>
    </w:p>
    <w:p w14:paraId="3762AE16" w14:textId="38D4A949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Collaborate with the HR centres of excellence to anticipate and address capability and skills gaps, workplace behaviours, performance matters and WHS issues and coach leaders to identify and address proactively.</w:t>
      </w:r>
    </w:p>
    <w:p w14:paraId="6668AB23" w14:textId="5E258B85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Provide strategic HR advice on a full range of HR matters including (but not limited to) HR policy and process, recruitment and retention, workplace behaviours, employee relations, reward and recognition, learning and development and industrial relations.</w:t>
      </w:r>
    </w:p>
    <w:p w14:paraId="5D20C6FD" w14:textId="5D2D68AB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Manage and drive best practice approaches in the application of HR within the Directorate and where appropriate / necessary, work collaboratively with ACT Government stakeholders, Directorate stakeholders and external stakeholders to continuously improve the Directorate’s application of HR in a collegiate manner.</w:t>
      </w:r>
    </w:p>
    <w:p w14:paraId="13BD3EA9" w14:textId="41B685F7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Undertake analysis and develop options, plans, strategies and programs to address organisational employee relations challenges including productivity, efficiency, absenteeism, leave management, workforce capability, employee reward and recognition, recruitment and retention.</w:t>
      </w:r>
    </w:p>
    <w:p w14:paraId="18D02F90" w14:textId="6B615C84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Use HR data to inform strategies and provide Directorate stakeholders with workforce insights to inform future growth and planning.</w:t>
      </w:r>
    </w:p>
    <w:p w14:paraId="7F274C95" w14:textId="38680294" w:rsidR="00A33D2D" w:rsidRPr="00A33D2D" w:rsidRDefault="00A33D2D" w:rsidP="00A33D2D">
      <w:pPr>
        <w:numPr>
          <w:ilvl w:val="0"/>
          <w:numId w:val="15"/>
        </w:numPr>
        <w:textAlignment w:val="baseline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 xml:space="preserve">Work in accordance with, and uphold the ACT Government Respect, Equity and Diversity Framework and the </w:t>
      </w:r>
      <w:r w:rsidR="006B3BC8">
        <w:rPr>
          <w:rFonts w:eastAsia="Times New Roman" w:cstheme="minorHAnsi"/>
          <w:color w:val="000000"/>
          <w:lang w:eastAsia="en-AU"/>
        </w:rPr>
        <w:t>D</w:t>
      </w:r>
      <w:r w:rsidRPr="00A33D2D">
        <w:rPr>
          <w:rFonts w:eastAsia="Times New Roman" w:cstheme="minorHAnsi"/>
          <w:color w:val="000000"/>
          <w:lang w:eastAsia="en-AU"/>
        </w:rPr>
        <w:t>irectorate</w:t>
      </w:r>
      <w:r w:rsidR="006B3BC8">
        <w:rPr>
          <w:rFonts w:eastAsia="Times New Roman" w:cstheme="minorHAnsi"/>
          <w:color w:val="000000"/>
          <w:lang w:eastAsia="en-AU"/>
        </w:rPr>
        <w:t>’</w:t>
      </w:r>
      <w:r w:rsidRPr="00A33D2D">
        <w:rPr>
          <w:rFonts w:eastAsia="Times New Roman" w:cstheme="minorHAnsi"/>
          <w:color w:val="000000"/>
          <w:lang w:eastAsia="en-AU"/>
        </w:rPr>
        <w:t>s Work Health and Safety system.</w:t>
      </w:r>
    </w:p>
    <w:p w14:paraId="4AC1C187" w14:textId="77777777" w:rsidR="00A33D2D" w:rsidRPr="00A33D2D" w:rsidRDefault="00A33D2D" w:rsidP="00A33D2D">
      <w:pPr>
        <w:pStyle w:val="BodyText"/>
        <w:widowControl w:val="0"/>
        <w:tabs>
          <w:tab w:val="left" w:pos="824"/>
        </w:tabs>
        <w:suppressAutoHyphens w:val="0"/>
        <w:autoSpaceDE w:val="0"/>
        <w:autoSpaceDN w:val="0"/>
        <w:spacing w:after="0"/>
        <w:ind w:right="381"/>
      </w:pPr>
    </w:p>
    <w:p w14:paraId="33291C5A" w14:textId="455446CB" w:rsidR="00FE4F26" w:rsidRPr="00FE4F26" w:rsidRDefault="00FE4F26" w:rsidP="00FE4F26">
      <w:pPr>
        <w:pBdr>
          <w:bottom w:val="single" w:sz="12" w:space="1" w:color="auto"/>
        </w:pBdr>
        <w:suppressAutoHyphens/>
        <w:spacing w:after="240" w:line="240" w:lineRule="auto"/>
        <w:jc w:val="both"/>
        <w:outlineLvl w:val="0"/>
        <w:rPr>
          <w:rFonts w:eastAsia="Times New Roman" w:cs="Times New Roman"/>
          <w:b/>
          <w:spacing w:val="5"/>
          <w:sz w:val="32"/>
          <w:szCs w:val="32"/>
          <w:lang w:eastAsia="ja-JP"/>
        </w:rPr>
      </w:pPr>
      <w:r w:rsidRPr="00FE4F26">
        <w:rPr>
          <w:rFonts w:eastAsia="Times New Roman" w:cs="Times New Roman"/>
          <w:b/>
          <w:spacing w:val="5"/>
          <w:sz w:val="32"/>
          <w:szCs w:val="32"/>
          <w:lang w:eastAsia="ja-JP"/>
        </w:rPr>
        <w:t xml:space="preserve">WHAT YOU </w:t>
      </w:r>
      <w:r>
        <w:rPr>
          <w:rFonts w:eastAsia="Times New Roman" w:cs="Times New Roman"/>
          <w:b/>
          <w:spacing w:val="5"/>
          <w:sz w:val="32"/>
          <w:szCs w:val="32"/>
          <w:lang w:eastAsia="ja-JP"/>
        </w:rPr>
        <w:t>REQUIRE</w:t>
      </w:r>
    </w:p>
    <w:p w14:paraId="0035F9AB" w14:textId="77777777" w:rsidR="00F1556A" w:rsidRPr="002A35B1" w:rsidRDefault="002A35B1" w:rsidP="002A35B1">
      <w:pPr>
        <w:pStyle w:val="BodyText"/>
        <w:rPr>
          <w:b/>
          <w:sz w:val="28"/>
          <w:szCs w:val="28"/>
        </w:rPr>
      </w:pPr>
      <w:r w:rsidRPr="00C36633">
        <w:rPr>
          <w:b/>
          <w:sz w:val="28"/>
          <w:szCs w:val="28"/>
        </w:rPr>
        <w:t>Professional</w:t>
      </w:r>
      <w:r>
        <w:rPr>
          <w:b/>
          <w:sz w:val="28"/>
          <w:szCs w:val="28"/>
        </w:rPr>
        <w:t xml:space="preserve"> and </w:t>
      </w:r>
      <w:r w:rsidRPr="00C36633">
        <w:rPr>
          <w:b/>
          <w:sz w:val="28"/>
          <w:szCs w:val="28"/>
        </w:rPr>
        <w:t>Technical Skills</w:t>
      </w:r>
      <w:r>
        <w:rPr>
          <w:b/>
          <w:sz w:val="28"/>
          <w:szCs w:val="28"/>
        </w:rPr>
        <w:t>,</w:t>
      </w:r>
      <w:r w:rsidRPr="00C36633">
        <w:rPr>
          <w:b/>
          <w:sz w:val="28"/>
          <w:szCs w:val="28"/>
        </w:rPr>
        <w:t xml:space="preserve"> and Knowledge </w:t>
      </w:r>
    </w:p>
    <w:p w14:paraId="18A5391E" w14:textId="248D9A62" w:rsidR="00A33D2D" w:rsidRPr="00A33D2D" w:rsidRDefault="00A33D2D" w:rsidP="00A33D2D">
      <w:pPr>
        <w:pStyle w:val="ListParagraph"/>
        <w:numPr>
          <w:ilvl w:val="0"/>
          <w:numId w:val="14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 xml:space="preserve">Solid experience in generalist contemporary HR practices, employee relations and </w:t>
      </w:r>
      <w:r w:rsidR="00190C11">
        <w:rPr>
          <w:rFonts w:eastAsia="Times New Roman" w:cstheme="minorHAnsi"/>
          <w:color w:val="000000"/>
          <w:lang w:eastAsia="en-AU"/>
        </w:rPr>
        <w:t>i</w:t>
      </w:r>
      <w:r w:rsidR="00D80CD9">
        <w:rPr>
          <w:rFonts w:eastAsia="Times New Roman" w:cstheme="minorHAnsi"/>
          <w:color w:val="000000"/>
          <w:lang w:eastAsia="en-AU"/>
        </w:rPr>
        <w:t xml:space="preserve">njury </w:t>
      </w:r>
      <w:r w:rsidR="00190C11">
        <w:rPr>
          <w:rFonts w:eastAsia="Times New Roman" w:cstheme="minorHAnsi"/>
          <w:color w:val="000000"/>
          <w:lang w:eastAsia="en-AU"/>
        </w:rPr>
        <w:t>m</w:t>
      </w:r>
      <w:r w:rsidR="00D80CD9">
        <w:rPr>
          <w:rFonts w:eastAsia="Times New Roman" w:cstheme="minorHAnsi"/>
          <w:color w:val="000000"/>
          <w:lang w:eastAsia="en-AU"/>
        </w:rPr>
        <w:t>anagement matters</w:t>
      </w:r>
      <w:r w:rsidRPr="00A33D2D">
        <w:rPr>
          <w:rFonts w:eastAsia="Times New Roman" w:cstheme="minorHAnsi"/>
          <w:color w:val="000000"/>
          <w:lang w:eastAsia="en-AU"/>
        </w:rPr>
        <w:t xml:space="preserve"> and the ability to lead and manage an operational HR team in achieving key branch and Directorate objectives.</w:t>
      </w:r>
    </w:p>
    <w:p w14:paraId="5A24F015" w14:textId="3BD22B56" w:rsidR="00A33D2D" w:rsidRPr="00A33D2D" w:rsidRDefault="00A33D2D" w:rsidP="00A33D2D">
      <w:pPr>
        <w:pStyle w:val="ListParagraph"/>
        <w:numPr>
          <w:ilvl w:val="0"/>
          <w:numId w:val="14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lastRenderedPageBreak/>
        <w:t>Ability to review, interpret and provide sound advice on complex legislation, policy and enterprise agreement issues relevant to employee relations and other people related matters.</w:t>
      </w:r>
    </w:p>
    <w:p w14:paraId="6E29670B" w14:textId="0DCD51F3" w:rsidR="00A33D2D" w:rsidRPr="00A33D2D" w:rsidRDefault="00A33D2D" w:rsidP="00A33D2D">
      <w:pPr>
        <w:pStyle w:val="ListParagraph"/>
        <w:numPr>
          <w:ilvl w:val="0"/>
          <w:numId w:val="14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Proven high level written communication skills including the ability to prepare ministerial and executive briefs, reports and other documents of a complex nature.</w:t>
      </w:r>
    </w:p>
    <w:p w14:paraId="04D4007D" w14:textId="10DA7FC6" w:rsidR="00A33D2D" w:rsidRPr="00A33D2D" w:rsidRDefault="00A33D2D" w:rsidP="00A33D2D">
      <w:pPr>
        <w:pStyle w:val="ListParagraph"/>
        <w:numPr>
          <w:ilvl w:val="0"/>
          <w:numId w:val="14"/>
        </w:numPr>
        <w:spacing w:after="240"/>
        <w:contextualSpacing w:val="0"/>
        <w:jc w:val="both"/>
        <w:rPr>
          <w:rFonts w:eastAsia="Times New Roman" w:cstheme="minorHAnsi"/>
          <w:color w:val="000000"/>
          <w:lang w:eastAsia="en-AU"/>
        </w:rPr>
      </w:pPr>
      <w:r w:rsidRPr="00A33D2D">
        <w:rPr>
          <w:rFonts w:eastAsia="Times New Roman" w:cstheme="minorHAnsi"/>
          <w:color w:val="000000"/>
          <w:lang w:eastAsia="en-AU"/>
        </w:rPr>
        <w:t>Effective interpersonal, teamwork and leadership skills including the ability to consult and negotiate on sensitive/complex human resource and WHS matters.</w:t>
      </w:r>
    </w:p>
    <w:p w14:paraId="511468BC" w14:textId="77777777" w:rsidR="00C5149D" w:rsidRPr="0057014C" w:rsidRDefault="00C5149D" w:rsidP="00C5149D">
      <w:pPr>
        <w:pStyle w:val="BodyText"/>
        <w:rPr>
          <w:b/>
          <w:sz w:val="28"/>
          <w:szCs w:val="28"/>
        </w:rPr>
      </w:pPr>
      <w:r w:rsidRPr="0057014C">
        <w:rPr>
          <w:b/>
          <w:sz w:val="28"/>
          <w:szCs w:val="28"/>
        </w:rPr>
        <w:t xml:space="preserve">Behavioural Capabilities </w:t>
      </w:r>
    </w:p>
    <w:p w14:paraId="622960B2" w14:textId="18CD7F11" w:rsidR="00C5149D" w:rsidRPr="006B3BC8" w:rsidRDefault="00ED0F97" w:rsidP="004C708A">
      <w:pPr>
        <w:pStyle w:val="BodyText"/>
        <w:numPr>
          <w:ilvl w:val="0"/>
          <w:numId w:val="14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Ability to handle personal or sensitive information appropriately, </w:t>
      </w:r>
      <w:proofErr w:type="gramStart"/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maintaining </w:t>
      </w:r>
      <w:r w:rsidR="00235A5B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high level of </w:t>
      </w:r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>confidentiality at</w:t>
      </w:r>
      <w:r w:rsidR="007D61AB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>all times</w:t>
      </w:r>
      <w:proofErr w:type="gramEnd"/>
      <w:r w:rsidR="00C5149D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 </w:t>
      </w:r>
    </w:p>
    <w:p w14:paraId="686F708B" w14:textId="39241C13" w:rsidR="002A35B1" w:rsidRPr="006B3BC8" w:rsidRDefault="00C5149D" w:rsidP="004C708A">
      <w:pPr>
        <w:pStyle w:val="BodyText"/>
        <w:numPr>
          <w:ilvl w:val="0"/>
          <w:numId w:val="14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Demonstrated </w:t>
      </w:r>
      <w:r w:rsidR="00ED0F97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ability to </w:t>
      </w:r>
      <w:r w:rsidR="00B772B5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>deliver</w:t>
      </w:r>
      <w:r w:rsidR="00ED0F97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on commitments</w:t>
      </w:r>
      <w:r w:rsidR="00B772B5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>, building trust with stakeholders and colleagues</w:t>
      </w:r>
      <w:r w:rsidR="00C41D81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especially under the pressure of multiple priorities and deadlines</w:t>
      </w:r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63D6335" w14:textId="2D91004D" w:rsidR="00C5149D" w:rsidRPr="006B3BC8" w:rsidRDefault="00C5149D" w:rsidP="004C708A">
      <w:pPr>
        <w:pStyle w:val="BodyText"/>
        <w:numPr>
          <w:ilvl w:val="0"/>
          <w:numId w:val="14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Demonstrated professionalism </w:t>
      </w:r>
      <w:r w:rsidR="00DB337D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and a commitment to continuous improvement in line with </w:t>
      </w:r>
      <w:r w:rsidR="009C70D3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>the ACT Government</w:t>
      </w:r>
      <w:r w:rsidR="00DB337D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Values of Respect, Integrity, Collaboration and Innovation. </w:t>
      </w:r>
      <w:r w:rsidR="008243EE" w:rsidRPr="006B3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0F3780C" w14:textId="14C614EA" w:rsidR="00FE4F26" w:rsidRPr="006B3BC8" w:rsidRDefault="00FE4F26" w:rsidP="00FE4F26">
      <w:pPr>
        <w:pStyle w:val="BodyText"/>
        <w:rPr>
          <w:b/>
          <w:sz w:val="28"/>
          <w:szCs w:val="28"/>
        </w:rPr>
      </w:pPr>
      <w:r w:rsidRPr="006B3BC8">
        <w:rPr>
          <w:b/>
          <w:sz w:val="28"/>
          <w:szCs w:val="28"/>
        </w:rPr>
        <w:t>Compliance Requirements / Qualifications</w:t>
      </w:r>
    </w:p>
    <w:p w14:paraId="19A47BD1" w14:textId="69D20C5D" w:rsidR="00FE4F26" w:rsidRPr="006B3BC8" w:rsidRDefault="00FE4F26" w:rsidP="00DF7530">
      <w:pPr>
        <w:pStyle w:val="ListParagraph"/>
        <w:numPr>
          <w:ilvl w:val="0"/>
          <w:numId w:val="19"/>
        </w:numPr>
        <w:spacing w:before="120" w:after="240"/>
        <w:contextualSpacing w:val="0"/>
        <w:rPr>
          <w:rFonts w:cstheme="minorHAnsi"/>
        </w:rPr>
      </w:pPr>
      <w:r w:rsidRPr="006B3BC8">
        <w:rPr>
          <w:rFonts w:cstheme="minorHAnsi"/>
        </w:rPr>
        <w:t>This position does not require a pre-employment medical.</w:t>
      </w:r>
    </w:p>
    <w:p w14:paraId="562ECA0E" w14:textId="3A312D6B" w:rsidR="00FE4F26" w:rsidRPr="006B3BC8" w:rsidRDefault="00FE4F26" w:rsidP="00DF7530">
      <w:pPr>
        <w:pStyle w:val="ListParagraph"/>
        <w:numPr>
          <w:ilvl w:val="0"/>
          <w:numId w:val="19"/>
        </w:numPr>
        <w:spacing w:before="120" w:after="240"/>
        <w:contextualSpacing w:val="0"/>
        <w:rPr>
          <w:rFonts w:cstheme="minorHAnsi"/>
        </w:rPr>
      </w:pPr>
      <w:r w:rsidRPr="006B3BC8">
        <w:rPr>
          <w:rFonts w:cstheme="minorHAnsi"/>
        </w:rPr>
        <w:t>This position does not require a Working with Vulnerable People Check.</w:t>
      </w:r>
    </w:p>
    <w:p w14:paraId="0BA82F5A" w14:textId="37BB2F22" w:rsidR="00FE4F26" w:rsidRPr="006B3BC8" w:rsidRDefault="00235A5B" w:rsidP="00DF7530">
      <w:pPr>
        <w:pStyle w:val="ListParagraph"/>
        <w:numPr>
          <w:ilvl w:val="0"/>
          <w:numId w:val="19"/>
        </w:numPr>
        <w:spacing w:before="120" w:after="240"/>
        <w:contextualSpacing w:val="0"/>
        <w:rPr>
          <w:rFonts w:cstheme="minorHAnsi"/>
        </w:rPr>
      </w:pPr>
      <w:r w:rsidRPr="006B3BC8">
        <w:rPr>
          <w:rFonts w:cstheme="minorHAnsi"/>
        </w:rPr>
        <w:t>Tertiary qualifications in Human Resources, or similar highly desirable</w:t>
      </w:r>
      <w:r w:rsidR="00FE4F26" w:rsidRPr="006B3BC8">
        <w:rPr>
          <w:rFonts w:cstheme="minorHAnsi"/>
        </w:rPr>
        <w:t>.</w:t>
      </w:r>
    </w:p>
    <w:p w14:paraId="294EC435" w14:textId="0CE2457A" w:rsidR="00FE4F26" w:rsidRPr="006B3BC8" w:rsidRDefault="00FE4F26" w:rsidP="00DF7530">
      <w:pPr>
        <w:pStyle w:val="ListParagraph"/>
        <w:numPr>
          <w:ilvl w:val="0"/>
          <w:numId w:val="19"/>
        </w:numPr>
        <w:spacing w:before="120" w:after="240"/>
        <w:contextualSpacing w:val="0"/>
        <w:rPr>
          <w:rFonts w:cstheme="minorHAnsi"/>
        </w:rPr>
      </w:pPr>
      <w:r w:rsidRPr="006B3BC8">
        <w:rPr>
          <w:rFonts w:cstheme="minorHAnsi"/>
        </w:rPr>
        <w:t>Professional memberships relevant to HR would be an advantage and/or AHRI Professional Accreditation/Practicing Certificate.</w:t>
      </w:r>
    </w:p>
    <w:p w14:paraId="5C0A5FB7" w14:textId="77777777" w:rsidR="00FE4F26" w:rsidRDefault="00FE4F26" w:rsidP="00FE4F26">
      <w:pPr>
        <w:pBdr>
          <w:bottom w:val="single" w:sz="4" w:space="1" w:color="auto"/>
        </w:pBdr>
        <w:rPr>
          <w:b/>
          <w:sz w:val="32"/>
        </w:rPr>
      </w:pPr>
    </w:p>
    <w:p w14:paraId="3E56A6E5" w14:textId="77777777" w:rsidR="008A6D30" w:rsidRPr="008A6D30" w:rsidRDefault="008A6D30" w:rsidP="008A6D30">
      <w:pPr>
        <w:spacing w:after="0"/>
        <w:jc w:val="both"/>
        <w:rPr>
          <w:rFonts w:cs="Arial"/>
          <w:szCs w:val="24"/>
        </w:rPr>
      </w:pPr>
    </w:p>
    <w:sectPr w:rsidR="008A6D30" w:rsidRPr="008A6D30" w:rsidSect="00446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0C9"/>
    <w:multiLevelType w:val="hybridMultilevel"/>
    <w:tmpl w:val="1B3AF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188E"/>
    <w:multiLevelType w:val="hybridMultilevel"/>
    <w:tmpl w:val="8614112E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9F47AC9"/>
    <w:multiLevelType w:val="hybridMultilevel"/>
    <w:tmpl w:val="9B049722"/>
    <w:lvl w:ilvl="0" w:tplc="783E7E8E">
      <w:start w:val="1"/>
      <w:numFmt w:val="decimal"/>
      <w:lvlText w:val="%1."/>
      <w:lvlJc w:val="left"/>
      <w:pPr>
        <w:ind w:left="669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7FAEDBB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2" w:tplc="F6409390">
      <w:numFmt w:val="bullet"/>
      <w:lvlText w:val="•"/>
      <w:lvlJc w:val="left"/>
      <w:pPr>
        <w:ind w:left="1717" w:hanging="360"/>
      </w:pPr>
      <w:rPr>
        <w:rFonts w:hint="default"/>
        <w:lang w:val="en-AU" w:eastAsia="en-US" w:bidi="ar-SA"/>
      </w:rPr>
    </w:lvl>
    <w:lvl w:ilvl="3" w:tplc="820A4F76">
      <w:numFmt w:val="bullet"/>
      <w:lvlText w:val="•"/>
      <w:lvlJc w:val="left"/>
      <w:pPr>
        <w:ind w:left="2615" w:hanging="360"/>
      </w:pPr>
      <w:rPr>
        <w:rFonts w:hint="default"/>
        <w:lang w:val="en-AU" w:eastAsia="en-US" w:bidi="ar-SA"/>
      </w:rPr>
    </w:lvl>
    <w:lvl w:ilvl="4" w:tplc="F314F4A0">
      <w:numFmt w:val="bullet"/>
      <w:lvlText w:val="•"/>
      <w:lvlJc w:val="left"/>
      <w:pPr>
        <w:ind w:left="3513" w:hanging="360"/>
      </w:pPr>
      <w:rPr>
        <w:rFonts w:hint="default"/>
        <w:lang w:val="en-AU" w:eastAsia="en-US" w:bidi="ar-SA"/>
      </w:rPr>
    </w:lvl>
    <w:lvl w:ilvl="5" w:tplc="28A0F8EA">
      <w:numFmt w:val="bullet"/>
      <w:lvlText w:val="•"/>
      <w:lvlJc w:val="left"/>
      <w:pPr>
        <w:ind w:left="4411" w:hanging="360"/>
      </w:pPr>
      <w:rPr>
        <w:rFonts w:hint="default"/>
        <w:lang w:val="en-AU" w:eastAsia="en-US" w:bidi="ar-SA"/>
      </w:rPr>
    </w:lvl>
    <w:lvl w:ilvl="6" w:tplc="E3DC0F4C">
      <w:numFmt w:val="bullet"/>
      <w:lvlText w:val="•"/>
      <w:lvlJc w:val="left"/>
      <w:pPr>
        <w:ind w:left="5309" w:hanging="360"/>
      </w:pPr>
      <w:rPr>
        <w:rFonts w:hint="default"/>
        <w:lang w:val="en-AU" w:eastAsia="en-US" w:bidi="ar-SA"/>
      </w:rPr>
    </w:lvl>
    <w:lvl w:ilvl="7" w:tplc="451E1CAE">
      <w:numFmt w:val="bullet"/>
      <w:lvlText w:val="•"/>
      <w:lvlJc w:val="left"/>
      <w:pPr>
        <w:ind w:left="6207" w:hanging="360"/>
      </w:pPr>
      <w:rPr>
        <w:rFonts w:hint="default"/>
        <w:lang w:val="en-AU" w:eastAsia="en-US" w:bidi="ar-SA"/>
      </w:rPr>
    </w:lvl>
    <w:lvl w:ilvl="8" w:tplc="C03C7146">
      <w:numFmt w:val="bullet"/>
      <w:lvlText w:val="•"/>
      <w:lvlJc w:val="left"/>
      <w:pPr>
        <w:ind w:left="7105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01C45F9"/>
    <w:multiLevelType w:val="hybridMultilevel"/>
    <w:tmpl w:val="5BE26A98"/>
    <w:lvl w:ilvl="0" w:tplc="BBA06ADE">
      <w:start w:val="6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45E498BC">
      <w:numFmt w:val="bullet"/>
      <w:lvlText w:val="•"/>
      <w:lvlJc w:val="left"/>
      <w:pPr>
        <w:ind w:left="1650" w:hanging="360"/>
      </w:pPr>
      <w:rPr>
        <w:rFonts w:hint="default"/>
        <w:lang w:val="en-AU" w:eastAsia="en-US" w:bidi="ar-SA"/>
      </w:rPr>
    </w:lvl>
    <w:lvl w:ilvl="2" w:tplc="D1C2B9D0">
      <w:numFmt w:val="bullet"/>
      <w:lvlText w:val="•"/>
      <w:lvlJc w:val="left"/>
      <w:pPr>
        <w:ind w:left="2481" w:hanging="360"/>
      </w:pPr>
      <w:rPr>
        <w:rFonts w:hint="default"/>
        <w:lang w:val="en-AU" w:eastAsia="en-US" w:bidi="ar-SA"/>
      </w:rPr>
    </w:lvl>
    <w:lvl w:ilvl="3" w:tplc="CF127D3C">
      <w:numFmt w:val="bullet"/>
      <w:lvlText w:val="•"/>
      <w:lvlJc w:val="left"/>
      <w:pPr>
        <w:ind w:left="3311" w:hanging="360"/>
      </w:pPr>
      <w:rPr>
        <w:rFonts w:hint="default"/>
        <w:lang w:val="en-AU" w:eastAsia="en-US" w:bidi="ar-SA"/>
      </w:rPr>
    </w:lvl>
    <w:lvl w:ilvl="4" w:tplc="E82A48CC">
      <w:numFmt w:val="bullet"/>
      <w:lvlText w:val="•"/>
      <w:lvlJc w:val="left"/>
      <w:pPr>
        <w:ind w:left="4142" w:hanging="360"/>
      </w:pPr>
      <w:rPr>
        <w:rFonts w:hint="default"/>
        <w:lang w:val="en-AU" w:eastAsia="en-US" w:bidi="ar-SA"/>
      </w:rPr>
    </w:lvl>
    <w:lvl w:ilvl="5" w:tplc="171E5728">
      <w:numFmt w:val="bullet"/>
      <w:lvlText w:val="•"/>
      <w:lvlJc w:val="left"/>
      <w:pPr>
        <w:ind w:left="4973" w:hanging="360"/>
      </w:pPr>
      <w:rPr>
        <w:rFonts w:hint="default"/>
        <w:lang w:val="en-AU" w:eastAsia="en-US" w:bidi="ar-SA"/>
      </w:rPr>
    </w:lvl>
    <w:lvl w:ilvl="6" w:tplc="209A1452">
      <w:numFmt w:val="bullet"/>
      <w:lvlText w:val="•"/>
      <w:lvlJc w:val="left"/>
      <w:pPr>
        <w:ind w:left="5803" w:hanging="360"/>
      </w:pPr>
      <w:rPr>
        <w:rFonts w:hint="default"/>
        <w:lang w:val="en-AU" w:eastAsia="en-US" w:bidi="ar-SA"/>
      </w:rPr>
    </w:lvl>
    <w:lvl w:ilvl="7" w:tplc="F94EEF26">
      <w:numFmt w:val="bullet"/>
      <w:lvlText w:val="•"/>
      <w:lvlJc w:val="left"/>
      <w:pPr>
        <w:ind w:left="6634" w:hanging="360"/>
      </w:pPr>
      <w:rPr>
        <w:rFonts w:hint="default"/>
        <w:lang w:val="en-AU" w:eastAsia="en-US" w:bidi="ar-SA"/>
      </w:rPr>
    </w:lvl>
    <w:lvl w:ilvl="8" w:tplc="3A402A8E">
      <w:numFmt w:val="bullet"/>
      <w:lvlText w:val="•"/>
      <w:lvlJc w:val="left"/>
      <w:pPr>
        <w:ind w:left="7465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86624C6"/>
    <w:multiLevelType w:val="hybridMultilevel"/>
    <w:tmpl w:val="F4AE7A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67EF2"/>
    <w:multiLevelType w:val="hybridMultilevel"/>
    <w:tmpl w:val="C4941CE4"/>
    <w:lvl w:ilvl="0" w:tplc="3A92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A6EBA"/>
    <w:multiLevelType w:val="hybridMultilevel"/>
    <w:tmpl w:val="58D42FEE"/>
    <w:lvl w:ilvl="0" w:tplc="0DBC4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90F53"/>
    <w:multiLevelType w:val="hybridMultilevel"/>
    <w:tmpl w:val="4BAEB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0983"/>
    <w:multiLevelType w:val="hybridMultilevel"/>
    <w:tmpl w:val="2D440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67CA"/>
    <w:multiLevelType w:val="hybridMultilevel"/>
    <w:tmpl w:val="119E4D9C"/>
    <w:lvl w:ilvl="0" w:tplc="880A59D0">
      <w:start w:val="1"/>
      <w:numFmt w:val="bullet"/>
      <w:pStyle w:val="Do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bullet"/>
      <w:pStyle w:val="SubdotPoin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E736AB"/>
    <w:multiLevelType w:val="hybridMultilevel"/>
    <w:tmpl w:val="0D1EB9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C0376F"/>
    <w:multiLevelType w:val="hybridMultilevel"/>
    <w:tmpl w:val="97F06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C94A79"/>
    <w:multiLevelType w:val="hybridMultilevel"/>
    <w:tmpl w:val="40D825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056"/>
    <w:multiLevelType w:val="hybridMultilevel"/>
    <w:tmpl w:val="A3462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E449C"/>
    <w:multiLevelType w:val="hybridMultilevel"/>
    <w:tmpl w:val="8ED4F6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415707"/>
    <w:multiLevelType w:val="hybridMultilevel"/>
    <w:tmpl w:val="CB2E18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0C11"/>
    <w:multiLevelType w:val="hybridMultilevel"/>
    <w:tmpl w:val="198C67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127D12"/>
    <w:multiLevelType w:val="hybridMultilevel"/>
    <w:tmpl w:val="1CF2C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53F21"/>
    <w:multiLevelType w:val="hybridMultilevel"/>
    <w:tmpl w:val="3F9237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B1C78"/>
    <w:multiLevelType w:val="hybridMultilevel"/>
    <w:tmpl w:val="92E833E8"/>
    <w:lvl w:ilvl="0" w:tplc="4CB881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B4CDE"/>
    <w:multiLevelType w:val="hybridMultilevel"/>
    <w:tmpl w:val="316C82F2"/>
    <w:lvl w:ilvl="0" w:tplc="070A7E24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B3F8B7EA">
      <w:numFmt w:val="bullet"/>
      <w:lvlText w:val="•"/>
      <w:lvlJc w:val="left"/>
      <w:pPr>
        <w:ind w:left="1650" w:hanging="360"/>
      </w:pPr>
      <w:rPr>
        <w:rFonts w:hint="default"/>
        <w:lang w:val="en-AU" w:eastAsia="en-US" w:bidi="ar-SA"/>
      </w:rPr>
    </w:lvl>
    <w:lvl w:ilvl="2" w:tplc="1C381168">
      <w:numFmt w:val="bullet"/>
      <w:lvlText w:val="•"/>
      <w:lvlJc w:val="left"/>
      <w:pPr>
        <w:ind w:left="2481" w:hanging="360"/>
      </w:pPr>
      <w:rPr>
        <w:rFonts w:hint="default"/>
        <w:lang w:val="en-AU" w:eastAsia="en-US" w:bidi="ar-SA"/>
      </w:rPr>
    </w:lvl>
    <w:lvl w:ilvl="3" w:tplc="35FEA8FA">
      <w:numFmt w:val="bullet"/>
      <w:lvlText w:val="•"/>
      <w:lvlJc w:val="left"/>
      <w:pPr>
        <w:ind w:left="3311" w:hanging="360"/>
      </w:pPr>
      <w:rPr>
        <w:rFonts w:hint="default"/>
        <w:lang w:val="en-AU" w:eastAsia="en-US" w:bidi="ar-SA"/>
      </w:rPr>
    </w:lvl>
    <w:lvl w:ilvl="4" w:tplc="1E24B05C">
      <w:numFmt w:val="bullet"/>
      <w:lvlText w:val="•"/>
      <w:lvlJc w:val="left"/>
      <w:pPr>
        <w:ind w:left="4142" w:hanging="360"/>
      </w:pPr>
      <w:rPr>
        <w:rFonts w:hint="default"/>
        <w:lang w:val="en-AU" w:eastAsia="en-US" w:bidi="ar-SA"/>
      </w:rPr>
    </w:lvl>
    <w:lvl w:ilvl="5" w:tplc="3078C75E">
      <w:numFmt w:val="bullet"/>
      <w:lvlText w:val="•"/>
      <w:lvlJc w:val="left"/>
      <w:pPr>
        <w:ind w:left="4973" w:hanging="360"/>
      </w:pPr>
      <w:rPr>
        <w:rFonts w:hint="default"/>
        <w:lang w:val="en-AU" w:eastAsia="en-US" w:bidi="ar-SA"/>
      </w:rPr>
    </w:lvl>
    <w:lvl w:ilvl="6" w:tplc="FC38BD58">
      <w:numFmt w:val="bullet"/>
      <w:lvlText w:val="•"/>
      <w:lvlJc w:val="left"/>
      <w:pPr>
        <w:ind w:left="5803" w:hanging="360"/>
      </w:pPr>
      <w:rPr>
        <w:rFonts w:hint="default"/>
        <w:lang w:val="en-AU" w:eastAsia="en-US" w:bidi="ar-SA"/>
      </w:rPr>
    </w:lvl>
    <w:lvl w:ilvl="7" w:tplc="58529D90">
      <w:numFmt w:val="bullet"/>
      <w:lvlText w:val="•"/>
      <w:lvlJc w:val="left"/>
      <w:pPr>
        <w:ind w:left="6634" w:hanging="360"/>
      </w:pPr>
      <w:rPr>
        <w:rFonts w:hint="default"/>
        <w:lang w:val="en-AU" w:eastAsia="en-US" w:bidi="ar-SA"/>
      </w:rPr>
    </w:lvl>
    <w:lvl w:ilvl="8" w:tplc="135650EE">
      <w:numFmt w:val="bullet"/>
      <w:lvlText w:val="•"/>
      <w:lvlJc w:val="left"/>
      <w:pPr>
        <w:ind w:left="7465" w:hanging="360"/>
      </w:pPr>
      <w:rPr>
        <w:rFonts w:hint="default"/>
        <w:lang w:val="en-AU" w:eastAsia="en-US" w:bidi="ar-SA"/>
      </w:rPr>
    </w:lvl>
  </w:abstractNum>
  <w:num w:numId="1" w16cid:durableId="1469740716">
    <w:abstractNumId w:val="1"/>
  </w:num>
  <w:num w:numId="2" w16cid:durableId="393626588">
    <w:abstractNumId w:val="11"/>
  </w:num>
  <w:num w:numId="3" w16cid:durableId="171605849">
    <w:abstractNumId w:val="8"/>
  </w:num>
  <w:num w:numId="4" w16cid:durableId="1384016532">
    <w:abstractNumId w:val="19"/>
  </w:num>
  <w:num w:numId="5" w16cid:durableId="1885484582">
    <w:abstractNumId w:val="12"/>
  </w:num>
  <w:num w:numId="6" w16cid:durableId="1833980838">
    <w:abstractNumId w:val="17"/>
  </w:num>
  <w:num w:numId="7" w16cid:durableId="320159682">
    <w:abstractNumId w:val="0"/>
  </w:num>
  <w:num w:numId="8" w16cid:durableId="189689898">
    <w:abstractNumId w:val="15"/>
  </w:num>
  <w:num w:numId="9" w16cid:durableId="2050295354">
    <w:abstractNumId w:val="7"/>
  </w:num>
  <w:num w:numId="10" w16cid:durableId="2139495386">
    <w:abstractNumId w:val="18"/>
  </w:num>
  <w:num w:numId="11" w16cid:durableId="1259021981">
    <w:abstractNumId w:val="13"/>
  </w:num>
  <w:num w:numId="12" w16cid:durableId="726341556">
    <w:abstractNumId w:val="5"/>
  </w:num>
  <w:num w:numId="13" w16cid:durableId="310402577">
    <w:abstractNumId w:val="16"/>
  </w:num>
  <w:num w:numId="14" w16cid:durableId="289750521">
    <w:abstractNumId w:val="10"/>
  </w:num>
  <w:num w:numId="15" w16cid:durableId="2032148139">
    <w:abstractNumId w:val="14"/>
  </w:num>
  <w:num w:numId="16" w16cid:durableId="913588067">
    <w:abstractNumId w:val="9"/>
  </w:num>
  <w:num w:numId="17" w16cid:durableId="864371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2796753">
    <w:abstractNumId w:val="4"/>
  </w:num>
  <w:num w:numId="19" w16cid:durableId="559899473">
    <w:abstractNumId w:val="6"/>
  </w:num>
  <w:num w:numId="20" w16cid:durableId="2097752084">
    <w:abstractNumId w:val="20"/>
  </w:num>
  <w:num w:numId="21" w16cid:durableId="1997148774">
    <w:abstractNumId w:val="3"/>
  </w:num>
  <w:num w:numId="22" w16cid:durableId="25463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9B"/>
    <w:rsid w:val="00015A00"/>
    <w:rsid w:val="000671C5"/>
    <w:rsid w:val="0008401E"/>
    <w:rsid w:val="00097A25"/>
    <w:rsid w:val="001018DC"/>
    <w:rsid w:val="001309D0"/>
    <w:rsid w:val="00131CE7"/>
    <w:rsid w:val="00152493"/>
    <w:rsid w:val="00167E1B"/>
    <w:rsid w:val="00180956"/>
    <w:rsid w:val="00190C11"/>
    <w:rsid w:val="001A6A7A"/>
    <w:rsid w:val="001D352E"/>
    <w:rsid w:val="001D5463"/>
    <w:rsid w:val="002307EA"/>
    <w:rsid w:val="00235A5B"/>
    <w:rsid w:val="00237AE0"/>
    <w:rsid w:val="002675CB"/>
    <w:rsid w:val="00296835"/>
    <w:rsid w:val="002A04F2"/>
    <w:rsid w:val="002A35B1"/>
    <w:rsid w:val="002B0CF9"/>
    <w:rsid w:val="002B2399"/>
    <w:rsid w:val="002C19B0"/>
    <w:rsid w:val="002F761A"/>
    <w:rsid w:val="00350DCE"/>
    <w:rsid w:val="00367E26"/>
    <w:rsid w:val="00396800"/>
    <w:rsid w:val="003D502C"/>
    <w:rsid w:val="003D5DF1"/>
    <w:rsid w:val="004151C9"/>
    <w:rsid w:val="00437B36"/>
    <w:rsid w:val="00446273"/>
    <w:rsid w:val="004632A2"/>
    <w:rsid w:val="0048683F"/>
    <w:rsid w:val="004A2308"/>
    <w:rsid w:val="004C4539"/>
    <w:rsid w:val="004C67E9"/>
    <w:rsid w:val="004C708A"/>
    <w:rsid w:val="004D078F"/>
    <w:rsid w:val="004D440E"/>
    <w:rsid w:val="004F4506"/>
    <w:rsid w:val="00514F7B"/>
    <w:rsid w:val="00521371"/>
    <w:rsid w:val="00560A17"/>
    <w:rsid w:val="0057014C"/>
    <w:rsid w:val="00573027"/>
    <w:rsid w:val="005B79B9"/>
    <w:rsid w:val="005D4477"/>
    <w:rsid w:val="005D7E44"/>
    <w:rsid w:val="00612961"/>
    <w:rsid w:val="0064028A"/>
    <w:rsid w:val="00674889"/>
    <w:rsid w:val="006B1DD9"/>
    <w:rsid w:val="006B3BC8"/>
    <w:rsid w:val="006C5474"/>
    <w:rsid w:val="006D19AE"/>
    <w:rsid w:val="007111FE"/>
    <w:rsid w:val="0074670D"/>
    <w:rsid w:val="007D61AB"/>
    <w:rsid w:val="007F6362"/>
    <w:rsid w:val="008160D4"/>
    <w:rsid w:val="00816F20"/>
    <w:rsid w:val="008220E3"/>
    <w:rsid w:val="008243EE"/>
    <w:rsid w:val="00831C49"/>
    <w:rsid w:val="008A6D30"/>
    <w:rsid w:val="008C528A"/>
    <w:rsid w:val="008E7A31"/>
    <w:rsid w:val="008F3471"/>
    <w:rsid w:val="00945CF6"/>
    <w:rsid w:val="00977AEF"/>
    <w:rsid w:val="009B2F76"/>
    <w:rsid w:val="009B5806"/>
    <w:rsid w:val="009C70D3"/>
    <w:rsid w:val="00A10596"/>
    <w:rsid w:val="00A135A7"/>
    <w:rsid w:val="00A33D2D"/>
    <w:rsid w:val="00A36FCC"/>
    <w:rsid w:val="00A4189B"/>
    <w:rsid w:val="00A50F09"/>
    <w:rsid w:val="00A61F2E"/>
    <w:rsid w:val="00A71431"/>
    <w:rsid w:val="00A81126"/>
    <w:rsid w:val="00A81AE8"/>
    <w:rsid w:val="00AA120E"/>
    <w:rsid w:val="00AA26A3"/>
    <w:rsid w:val="00AA6316"/>
    <w:rsid w:val="00AB0070"/>
    <w:rsid w:val="00AC0BC4"/>
    <w:rsid w:val="00B441D7"/>
    <w:rsid w:val="00B772B5"/>
    <w:rsid w:val="00B81EC6"/>
    <w:rsid w:val="00BF1078"/>
    <w:rsid w:val="00BF2FB5"/>
    <w:rsid w:val="00BF5AA9"/>
    <w:rsid w:val="00C217DD"/>
    <w:rsid w:val="00C41D81"/>
    <w:rsid w:val="00C5149D"/>
    <w:rsid w:val="00C55C62"/>
    <w:rsid w:val="00CA3F61"/>
    <w:rsid w:val="00CE201A"/>
    <w:rsid w:val="00D342B0"/>
    <w:rsid w:val="00D40286"/>
    <w:rsid w:val="00D71444"/>
    <w:rsid w:val="00D73D58"/>
    <w:rsid w:val="00D80CD9"/>
    <w:rsid w:val="00D911E6"/>
    <w:rsid w:val="00D923D7"/>
    <w:rsid w:val="00D96724"/>
    <w:rsid w:val="00DB337D"/>
    <w:rsid w:val="00DD0E11"/>
    <w:rsid w:val="00DF7530"/>
    <w:rsid w:val="00E21723"/>
    <w:rsid w:val="00E367A0"/>
    <w:rsid w:val="00E4318B"/>
    <w:rsid w:val="00E5345E"/>
    <w:rsid w:val="00E71F5E"/>
    <w:rsid w:val="00ED0F97"/>
    <w:rsid w:val="00EE0D32"/>
    <w:rsid w:val="00F1556A"/>
    <w:rsid w:val="00F1620B"/>
    <w:rsid w:val="00F4180A"/>
    <w:rsid w:val="00F7289A"/>
    <w:rsid w:val="00F8237E"/>
    <w:rsid w:val="00FC29C9"/>
    <w:rsid w:val="00FC5590"/>
    <w:rsid w:val="00FD272F"/>
    <w:rsid w:val="00FD5ABE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800B"/>
  <w15:chartTrackingRefBased/>
  <w15:docId w15:val="{8E151A31-277A-4363-9801-C80FB604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List Paragraph11,L"/>
    <w:basedOn w:val="Normal"/>
    <w:link w:val="ListParagraphChar"/>
    <w:uiPriority w:val="34"/>
    <w:qFormat/>
    <w:rsid w:val="00015A00"/>
    <w:pPr>
      <w:ind w:left="720"/>
      <w:contextualSpacing/>
    </w:pPr>
  </w:style>
  <w:style w:type="paragraph" w:styleId="BodyText">
    <w:name w:val="Body Text"/>
    <w:basedOn w:val="Normal"/>
    <w:link w:val="BodyTextChar"/>
    <w:rsid w:val="00C5149D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C5149D"/>
    <w:rPr>
      <w:rFonts w:ascii="Calibri" w:eastAsia="Times New Roman" w:hAnsi="Calibri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83F"/>
    <w:rPr>
      <w:color w:val="0000FF" w:themeColor="hyperlink"/>
      <w:u w:val="single"/>
    </w:rPr>
  </w:style>
  <w:style w:type="paragraph" w:customStyle="1" w:styleId="DotPoint">
    <w:name w:val="Dot Point"/>
    <w:basedOn w:val="ListParagraph"/>
    <w:qFormat/>
    <w:rsid w:val="00FE4F26"/>
    <w:pPr>
      <w:numPr>
        <w:numId w:val="16"/>
      </w:numPr>
      <w:tabs>
        <w:tab w:val="num" w:pos="360"/>
      </w:tabs>
      <w:suppressAutoHyphens/>
      <w:spacing w:after="240" w:line="240" w:lineRule="auto"/>
      <w:ind w:left="720" w:firstLine="0"/>
    </w:pPr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SubdotPoint">
    <w:name w:val="Subdot Point"/>
    <w:basedOn w:val="ListParagraph"/>
    <w:qFormat/>
    <w:rsid w:val="00FE4F26"/>
    <w:pPr>
      <w:numPr>
        <w:ilvl w:val="1"/>
        <w:numId w:val="16"/>
      </w:numPr>
      <w:tabs>
        <w:tab w:val="num" w:pos="360"/>
      </w:tabs>
      <w:suppressAutoHyphens/>
      <w:spacing w:after="240" w:line="240" w:lineRule="auto"/>
      <w:ind w:left="720" w:firstLine="0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B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9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5A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2B0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 Char"/>
    <w:basedOn w:val="DefaultParagraphFont"/>
    <w:link w:val="ListParagraph"/>
    <w:uiPriority w:val="34"/>
    <w:locked/>
    <w:rsid w:val="0064028A"/>
  </w:style>
  <w:style w:type="paragraph" w:styleId="BodyText3">
    <w:name w:val="Body Text 3"/>
    <w:basedOn w:val="Normal"/>
    <w:link w:val="BodyText3Char"/>
    <w:uiPriority w:val="99"/>
    <w:semiHidden/>
    <w:unhideWhenUsed/>
    <w:rsid w:val="006402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02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ation.act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bs.act.gov.au/about-the-actp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1332</Words>
  <Characters>7382</Characters>
  <Application>Microsoft Office Word</Application>
  <DocSecurity>4</DocSecurity>
  <Lines>283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30761 Position Description</vt:lpstr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Education</dc:creator>
  <cp:keywords/>
  <dc:description/>
  <cp:lastModifiedBy>Walker, Joanna</cp:lastModifiedBy>
  <cp:revision>2</cp:revision>
  <cp:lastPrinted>2020-10-12T01:49:00Z</cp:lastPrinted>
  <dcterms:created xsi:type="dcterms:W3CDTF">2026-05-27T23:49:00Z</dcterms:created>
  <dcterms:modified xsi:type="dcterms:W3CDTF">2026-05-27T23:49:00Z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2024-12-19T06:08:59Z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27f8927a-3b7f-4868-8df9-ef028bab38c1</vt:lpwstr>
  </property>
  <property fmtid="{D5CDD505-2E9C-101B-9397-08002B2CF9AE}" pid="8" name="MSIP_Label_69af8531-eb46-4968-8cb3-105d2f5ea87e_ContentBits">
    <vt:lpwstr>0</vt:lpwstr>
  </property>
</Properties>
</file>